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64E4" w14:textId="77777777" w:rsidR="00715A2F" w:rsidRPr="005866EA" w:rsidRDefault="00715A2F" w:rsidP="00715A2F">
      <w:pPr>
        <w:spacing w:line="480" w:lineRule="auto"/>
        <w:jc w:val="both"/>
        <w:rPr>
          <w:rFonts w:ascii="Arial" w:hAnsi="Arial" w:cs="Arial"/>
          <w:sz w:val="24"/>
          <w:szCs w:val="24"/>
        </w:rPr>
      </w:pPr>
      <w:r w:rsidRPr="005866EA">
        <w:rPr>
          <w:rFonts w:ascii="Arial" w:hAnsi="Arial" w:cs="Arial"/>
          <w:b/>
          <w:bCs/>
          <w:sz w:val="24"/>
          <w:szCs w:val="24"/>
        </w:rPr>
        <w:t>MTRO. JOSÉ DE JESÚS GRANILLO VÁZQUEZ</w:t>
      </w:r>
      <w:r w:rsidRPr="005866EA">
        <w:rPr>
          <w:rFonts w:ascii="Arial" w:hAnsi="Arial" w:cs="Arial"/>
          <w:sz w:val="24"/>
          <w:szCs w:val="24"/>
        </w:rPr>
        <w:t xml:space="preserve">, Secretario de Hacienda del Poder Ejecutivo del Estado de Chihuahua, de conformidad con los artículos 1, 2, 3, 31, párrafo primero, fracción II, y 94 de la Constitución Política del Estado de Chihuahua; 24, primer párrafo, fracción II, 26, primer párrafo, fracciones I, II, XVII y XVIII de la Ley Orgánica del Poder Ejecutivo del Estado de Chihuahua; y artículo 5 de la Ley de Presupuesto de Egresos, Contabilidad Gubernamental y Gasto Público del Estado de Chihuahua; y </w:t>
      </w:r>
    </w:p>
    <w:p w14:paraId="2C497DFC" w14:textId="77777777" w:rsidR="00693BDA" w:rsidRPr="005866EA" w:rsidRDefault="00693BDA" w:rsidP="00693BDA">
      <w:pPr>
        <w:spacing w:line="480" w:lineRule="auto"/>
        <w:jc w:val="center"/>
        <w:rPr>
          <w:rFonts w:ascii="Arial" w:hAnsi="Arial" w:cs="Arial"/>
          <w:b/>
          <w:sz w:val="24"/>
          <w:szCs w:val="24"/>
        </w:rPr>
      </w:pPr>
      <w:r w:rsidRPr="005866EA">
        <w:rPr>
          <w:rFonts w:ascii="Arial" w:hAnsi="Arial" w:cs="Arial"/>
          <w:b/>
          <w:sz w:val="24"/>
          <w:szCs w:val="24"/>
        </w:rPr>
        <w:t>CONSIDERANDO</w:t>
      </w:r>
    </w:p>
    <w:p w14:paraId="1A72F621" w14:textId="77777777"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t>Que conforme al Artículo 5 de la Ley de Presupuesto de Egresos, Contabilidad Gubernamental y Gasto Público del Estado de Chihuahua, la programación, presupuestación, ejercicio, seguimiento, monitoreo y evaluación del Gasto Público, se apegará a los lineamientos, directrices, estrategias y metas, con base en los principios de eficiencia, eficacia, economía, honradez, racionalidad, austeridad, control, rendición de cuentas, equidad de género y transparencia, de la administración de los recursos públicos, con la finalidad de satisfacer las necesidades que exija el desarrollo del Estado.</w:t>
      </w:r>
    </w:p>
    <w:p w14:paraId="475911B3" w14:textId="75F8E635"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t>Que la recaudación y clasificación del Ingreso, el ejercicio, control, seguimiento, monitoreo y evaluación del gasto público estatal se efectuará conforme a las disposiciones de la Ley de Disciplina Financiera de las Entidades Federativas y los Municipios; la Ley de Coordinación Fiscal; la Ley General de Contabilidad Gubernamental; la Ley de Presupuesto de Egresos, Contabilidad Gubernamental y Gasto Público del Estado de Chihuahua; la Ley de Ingresos y el Presupuesto de Egresos del ejercicio fiscal que corresponda, y demás disposiciones en la materia.</w:t>
      </w:r>
    </w:p>
    <w:p w14:paraId="3F08E555" w14:textId="77777777"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lastRenderedPageBreak/>
        <w:t>Que, para dar cumplimiento a las facultades mencionadas, el 26 de abril de 2023 la Secretaría de Hacienda del Gobierno del Estado de Chihuahua emitió los “Lineamientos para el Ejercicio del Presupuesto del Gobierno del Estado de Chihuahua”.</w:t>
      </w:r>
    </w:p>
    <w:p w14:paraId="5352B788" w14:textId="77777777"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t>Que la Secretaría de Hacienda del Gobierno del Estado de Chihuahua considera necesaria la modificación, adición y derogación de diversos artículos de los “Lineamientos para el Ejercicio del Presupuesto del Gobierno del Estado de Chihuahua” para estar en posibilidad de garantizar el uso eficiente de los recursos públicos en el ejercicio del presupuesto, tal como mandata el artículo 134 de la Constitución Política de los Estados Unidos Mexicanos; así como garantizar el buen funcionamiento de la administración pública estatal a través del ejercicio del presupuesto mediante las disposiciones normativas adecuadas.</w:t>
      </w:r>
    </w:p>
    <w:p w14:paraId="2757CB74" w14:textId="66A4E0F6" w:rsidR="00693BDA" w:rsidRPr="005866EA" w:rsidRDefault="00693BDA" w:rsidP="00693BDA">
      <w:pPr>
        <w:spacing w:line="480" w:lineRule="auto"/>
        <w:jc w:val="center"/>
        <w:rPr>
          <w:rFonts w:ascii="Arial" w:hAnsi="Arial" w:cs="Arial"/>
          <w:b/>
          <w:sz w:val="24"/>
          <w:szCs w:val="24"/>
        </w:rPr>
      </w:pPr>
      <w:r w:rsidRPr="005866EA">
        <w:rPr>
          <w:rFonts w:ascii="Arial" w:hAnsi="Arial" w:cs="Arial"/>
          <w:b/>
          <w:sz w:val="24"/>
          <w:szCs w:val="24"/>
        </w:rPr>
        <w:t xml:space="preserve">ACUERDO </w:t>
      </w:r>
    </w:p>
    <w:p w14:paraId="6E24DBF5" w14:textId="0A1582C4" w:rsidR="00693BDA" w:rsidRPr="005866EA" w:rsidRDefault="00693BDA" w:rsidP="00693BDA">
      <w:pPr>
        <w:spacing w:line="480" w:lineRule="auto"/>
        <w:jc w:val="both"/>
        <w:rPr>
          <w:rFonts w:ascii="Arial" w:hAnsi="Arial" w:cs="Arial"/>
          <w:sz w:val="24"/>
          <w:szCs w:val="24"/>
        </w:rPr>
      </w:pPr>
      <w:r w:rsidRPr="005866EA">
        <w:rPr>
          <w:rFonts w:ascii="Arial" w:hAnsi="Arial" w:cs="Arial"/>
          <w:b/>
          <w:bCs/>
          <w:sz w:val="24"/>
          <w:szCs w:val="24"/>
        </w:rPr>
        <w:t>Artícul</w:t>
      </w:r>
      <w:r w:rsidRPr="00531CA4">
        <w:rPr>
          <w:rFonts w:ascii="Arial" w:hAnsi="Arial" w:cs="Arial"/>
          <w:b/>
          <w:bCs/>
          <w:sz w:val="24"/>
          <w:szCs w:val="24"/>
        </w:rPr>
        <w:t>o Único.</w:t>
      </w:r>
      <w:r w:rsidRPr="00531CA4">
        <w:rPr>
          <w:rFonts w:ascii="Arial" w:hAnsi="Arial" w:cs="Arial"/>
          <w:sz w:val="24"/>
          <w:szCs w:val="24"/>
        </w:rPr>
        <w:t xml:space="preserve"> Se derogan los numerales 67, 68, 69, 70</w:t>
      </w:r>
      <w:r w:rsidR="00CF6995">
        <w:rPr>
          <w:rFonts w:ascii="Arial" w:hAnsi="Arial" w:cs="Arial"/>
          <w:sz w:val="24"/>
          <w:szCs w:val="24"/>
        </w:rPr>
        <w:t xml:space="preserve"> y</w:t>
      </w:r>
      <w:r w:rsidRPr="00531CA4">
        <w:rPr>
          <w:rFonts w:ascii="Arial" w:hAnsi="Arial" w:cs="Arial"/>
          <w:sz w:val="24"/>
          <w:szCs w:val="24"/>
        </w:rPr>
        <w:t xml:space="preserve"> 71; se adicionan los numerales 49.1, 49.2, 49.3, 49.4, 49.5, un segundo párrafo al numeral 94</w:t>
      </w:r>
      <w:r w:rsidR="007E43F6" w:rsidRPr="00531CA4">
        <w:rPr>
          <w:rFonts w:ascii="Arial" w:hAnsi="Arial" w:cs="Arial"/>
          <w:sz w:val="24"/>
          <w:szCs w:val="24"/>
        </w:rPr>
        <w:t xml:space="preserve">, las fracciones I y II </w:t>
      </w:r>
      <w:r w:rsidR="00531CA4" w:rsidRPr="00531CA4">
        <w:rPr>
          <w:rFonts w:ascii="Arial" w:hAnsi="Arial" w:cs="Arial"/>
          <w:sz w:val="24"/>
          <w:szCs w:val="24"/>
        </w:rPr>
        <w:t>del artículo 95 y las fracciones I y II del artículo 96</w:t>
      </w:r>
      <w:r w:rsidRPr="00531CA4">
        <w:rPr>
          <w:rFonts w:ascii="Arial" w:hAnsi="Arial" w:cs="Arial"/>
          <w:sz w:val="24"/>
          <w:szCs w:val="24"/>
        </w:rPr>
        <w:t>;</w:t>
      </w:r>
      <w:r w:rsidR="00531CA4" w:rsidRPr="00531CA4">
        <w:rPr>
          <w:rFonts w:ascii="Arial" w:hAnsi="Arial" w:cs="Arial"/>
          <w:sz w:val="24"/>
          <w:szCs w:val="24"/>
        </w:rPr>
        <w:t xml:space="preserve"> </w:t>
      </w:r>
      <w:r w:rsidRPr="00531CA4">
        <w:rPr>
          <w:rFonts w:ascii="Arial" w:hAnsi="Arial" w:cs="Arial"/>
          <w:sz w:val="24"/>
          <w:szCs w:val="24"/>
        </w:rPr>
        <w:t>se reforman los numerales 35, 88, 90, 94, 95, 96, 98, 100,</w:t>
      </w:r>
      <w:r w:rsidR="003A79AA" w:rsidRPr="00531CA4">
        <w:rPr>
          <w:rFonts w:ascii="Arial" w:hAnsi="Arial" w:cs="Arial"/>
          <w:sz w:val="24"/>
          <w:szCs w:val="24"/>
        </w:rPr>
        <w:t xml:space="preserve"> 101,</w:t>
      </w:r>
      <w:r w:rsidRPr="00531CA4">
        <w:rPr>
          <w:rFonts w:ascii="Arial" w:hAnsi="Arial" w:cs="Arial"/>
          <w:sz w:val="24"/>
          <w:szCs w:val="24"/>
        </w:rPr>
        <w:t xml:space="preserve"> 106</w:t>
      </w:r>
      <w:r w:rsidR="00CF6995">
        <w:rPr>
          <w:rFonts w:ascii="Arial" w:hAnsi="Arial" w:cs="Arial"/>
          <w:sz w:val="24"/>
          <w:szCs w:val="24"/>
        </w:rPr>
        <w:t>,</w:t>
      </w:r>
      <w:r w:rsidRPr="00531CA4">
        <w:rPr>
          <w:rFonts w:ascii="Arial" w:hAnsi="Arial" w:cs="Arial"/>
          <w:sz w:val="24"/>
          <w:szCs w:val="24"/>
        </w:rPr>
        <w:t xml:space="preserve"> 147</w:t>
      </w:r>
      <w:r w:rsidR="00CF6995">
        <w:rPr>
          <w:rFonts w:ascii="Arial" w:hAnsi="Arial" w:cs="Arial"/>
          <w:sz w:val="24"/>
          <w:szCs w:val="24"/>
        </w:rPr>
        <w:t xml:space="preserve"> y 161</w:t>
      </w:r>
      <w:r w:rsidR="00531CA4">
        <w:rPr>
          <w:rFonts w:ascii="Arial" w:hAnsi="Arial" w:cs="Arial"/>
          <w:sz w:val="24"/>
          <w:szCs w:val="24"/>
        </w:rPr>
        <w:t>;</w:t>
      </w:r>
      <w:r w:rsidRPr="00531CA4">
        <w:rPr>
          <w:rFonts w:ascii="Arial" w:hAnsi="Arial" w:cs="Arial"/>
          <w:sz w:val="24"/>
          <w:szCs w:val="24"/>
        </w:rPr>
        <w:t xml:space="preserve"> así como los Anexos 3 y 4, de los Lineamientos para el Ejercicio del Presupuesto del Gobierno del Estado de Chihuahua</w:t>
      </w:r>
      <w:r w:rsidRPr="005866EA">
        <w:rPr>
          <w:rFonts w:ascii="Arial" w:hAnsi="Arial" w:cs="Arial"/>
          <w:sz w:val="24"/>
          <w:szCs w:val="24"/>
        </w:rPr>
        <w:t>, publicados en el Periódico Oficial del Gobierno del Estado de Chihuahua el 26 de abril de 2023, para quedar como sigue:</w:t>
      </w:r>
    </w:p>
    <w:p w14:paraId="17173666" w14:textId="77777777" w:rsidR="00693BDA" w:rsidRPr="00CE127C" w:rsidRDefault="00693BDA" w:rsidP="00693BDA">
      <w:pPr>
        <w:spacing w:line="480" w:lineRule="auto"/>
        <w:jc w:val="both"/>
        <w:rPr>
          <w:rFonts w:ascii="Arial" w:hAnsi="Arial" w:cs="Arial"/>
          <w:sz w:val="24"/>
          <w:szCs w:val="24"/>
          <w:lang w:val="es-ES"/>
        </w:rPr>
      </w:pPr>
      <w:r w:rsidRPr="005866EA">
        <w:rPr>
          <w:rFonts w:ascii="Arial" w:hAnsi="Arial" w:cs="Arial"/>
          <w:sz w:val="24"/>
          <w:szCs w:val="24"/>
          <w:lang w:val="es-ES"/>
        </w:rPr>
        <w:lastRenderedPageBreak/>
        <w:t xml:space="preserve">35. </w:t>
      </w:r>
      <w:r w:rsidRPr="005866EA">
        <w:rPr>
          <w:rFonts w:ascii="Arial" w:hAnsi="Arial" w:cs="Arial"/>
          <w:sz w:val="24"/>
          <w:szCs w:val="24"/>
        </w:rPr>
        <w:t xml:space="preserve">El préstamo </w:t>
      </w:r>
      <w:r w:rsidRPr="00CE127C">
        <w:rPr>
          <w:rFonts w:ascii="Arial" w:hAnsi="Arial" w:cs="Arial"/>
          <w:sz w:val="24"/>
          <w:szCs w:val="24"/>
        </w:rPr>
        <w:t xml:space="preserve">otorgado a los municipios podrá ejercerse en los conceptos y en los términos que establecen las disposiciones aplicables al ejercicio del presupuesto de los municipios, siendo responsabilidad exclusiva de éstos cumplir con las mismas. </w:t>
      </w:r>
    </w:p>
    <w:p w14:paraId="2C71868F"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49.1 El pasivo circulante de las dependencias corresponde a los adeudos de ejercicios fiscales anteriores para cubrir las obligaciones de pago derivadas de los compromisos devengados y no pagados al 31 de diciembre, con base en el presupuesto autorizado en el ejercicio fiscal anterior, y con cargo al presupuesto autorizado para adeudos de ejercicios fiscales anteriores.</w:t>
      </w:r>
    </w:p>
    <w:p w14:paraId="1A43E801"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49.2 Las obligaciones de pago que no puedan ser cubiertas por el presupuesto para adeudos de ejercicios fiscales anteriores se cubrirán por las dependencias con cargo a su presupuesto autorizado del ejercicio fiscal en curso; para tales efectos, dicha responsabilidad no se condicionará a ampliaciones presupuestarias ni a la previa autorización de la Secretaría.</w:t>
      </w:r>
    </w:p>
    <w:p w14:paraId="3A282FDA"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49.3 El pasivo circulante podrá incluir las obligaciones de pago que correspondan a bienes y servicios adquiridos por la dependencia, cuya recepción se acredite a más tardar el 31 de diciembre de cada año mediante documento o nota de aceptación de los bienes o servicios, expedido por el área receptora.</w:t>
      </w:r>
    </w:p>
    <w:p w14:paraId="32C08E98"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49.4 El pasivo circulante de las Entidades corresponde a las obligaciones de pago contraídas por adquisiciones, arrendamientos, servicios y obras públicas contratadas y que al 31 de diciembre de cada ejercicio se encuentren contabilizadas, devengadas y pendientes de pago.</w:t>
      </w:r>
    </w:p>
    <w:p w14:paraId="202B333D"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lastRenderedPageBreak/>
        <w:t>49.5 Las Entidades serán responsables de cubrir los compromisos pendientes de pago de cada ejercicio fiscal a través, de sus tesorerías con cargo a su presupuesto autorizado del año en que se efectúe el pago.</w:t>
      </w:r>
    </w:p>
    <w:p w14:paraId="345972B8"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Las Entidades serán responsables de presentar a la Secretaría el informe de pasivo circulante antes del último día hábil de febrero de cada ejercicio.</w:t>
      </w:r>
    </w:p>
    <w:p w14:paraId="6692C23A" w14:textId="77777777"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t xml:space="preserve">67. </w:t>
      </w:r>
      <w:r w:rsidRPr="005866EA">
        <w:rPr>
          <w:rFonts w:ascii="Arial" w:hAnsi="Arial" w:cs="Arial"/>
          <w:b/>
          <w:bCs/>
          <w:sz w:val="24"/>
          <w:szCs w:val="24"/>
        </w:rPr>
        <w:t>Se deroga.</w:t>
      </w:r>
    </w:p>
    <w:p w14:paraId="27320C8E" w14:textId="77777777"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t xml:space="preserve">68. </w:t>
      </w:r>
      <w:r w:rsidRPr="005866EA">
        <w:rPr>
          <w:rFonts w:ascii="Arial" w:hAnsi="Arial" w:cs="Arial"/>
          <w:b/>
          <w:bCs/>
          <w:sz w:val="24"/>
          <w:szCs w:val="24"/>
        </w:rPr>
        <w:t>Se deroga.</w:t>
      </w:r>
    </w:p>
    <w:p w14:paraId="46186320" w14:textId="77777777"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t xml:space="preserve">69. </w:t>
      </w:r>
      <w:r w:rsidRPr="005866EA">
        <w:rPr>
          <w:rFonts w:ascii="Arial" w:hAnsi="Arial" w:cs="Arial"/>
          <w:b/>
          <w:bCs/>
          <w:sz w:val="24"/>
          <w:szCs w:val="24"/>
        </w:rPr>
        <w:t>Se deroga.</w:t>
      </w:r>
    </w:p>
    <w:p w14:paraId="309F9DAA" w14:textId="77777777"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t xml:space="preserve">70. </w:t>
      </w:r>
      <w:r w:rsidRPr="005866EA">
        <w:rPr>
          <w:rFonts w:ascii="Arial" w:hAnsi="Arial" w:cs="Arial"/>
          <w:b/>
          <w:bCs/>
          <w:sz w:val="24"/>
          <w:szCs w:val="24"/>
        </w:rPr>
        <w:t>Se deroga.</w:t>
      </w:r>
    </w:p>
    <w:p w14:paraId="767050D5" w14:textId="77777777"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t xml:space="preserve">71. </w:t>
      </w:r>
      <w:r w:rsidRPr="005866EA">
        <w:rPr>
          <w:rFonts w:ascii="Arial" w:hAnsi="Arial" w:cs="Arial"/>
          <w:b/>
          <w:bCs/>
          <w:sz w:val="24"/>
          <w:szCs w:val="24"/>
        </w:rPr>
        <w:t>Se deroga.</w:t>
      </w:r>
    </w:p>
    <w:p w14:paraId="3A62453F" w14:textId="451CEF64" w:rsidR="00693BDA" w:rsidRPr="00CE127C" w:rsidRDefault="00693BDA" w:rsidP="00693BDA">
      <w:pPr>
        <w:spacing w:line="480" w:lineRule="auto"/>
        <w:jc w:val="both"/>
        <w:rPr>
          <w:rFonts w:ascii="Arial" w:hAnsi="Arial" w:cs="Arial"/>
          <w:sz w:val="24"/>
          <w:szCs w:val="24"/>
        </w:rPr>
      </w:pPr>
      <w:r w:rsidRPr="005866EA">
        <w:rPr>
          <w:rFonts w:ascii="Arial" w:hAnsi="Arial" w:cs="Arial"/>
          <w:sz w:val="24"/>
          <w:szCs w:val="24"/>
        </w:rPr>
        <w:t xml:space="preserve">88. </w:t>
      </w:r>
      <w:r w:rsidRPr="00CE127C">
        <w:rPr>
          <w:rFonts w:ascii="Arial" w:hAnsi="Arial" w:cs="Arial"/>
          <w:sz w:val="24"/>
          <w:szCs w:val="24"/>
        </w:rPr>
        <w:t>Las dependencias deberán sujetarse a los tabuladores de remuneraciones aprobados en el Presupuesto de Egresos y el Manual de Remuneraciones de los Servidores Públicos ambos para el Poder Ejecutivo. En el caso de las entidades, éstas deberán emitir sus respectivos Manuales y tabuladores, sujetos a los montos aprobados en el Presupuesto de Egresos. Ningún servidor público podrá recibir remuneración mayor a la de su superior jerárquico.</w:t>
      </w:r>
    </w:p>
    <w:p w14:paraId="6707429F"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 xml:space="preserve">90. Sólo los titulares de las dependencias podrán proponer percepciones extraordinarias, siempre y cuando éstas deriven de un decreto o ley y cuenten con la suficiencia presupuestal. Las percepciones extraordinarias son aquellas que no constituyen un ingreso fijo, regular ni permanente. El proceso deberá ser previamente solicitado a la Subsecretaría de Administración anexando la </w:t>
      </w:r>
      <w:r w:rsidRPr="00CE127C">
        <w:rPr>
          <w:rFonts w:ascii="Arial" w:hAnsi="Arial" w:cs="Arial"/>
          <w:sz w:val="24"/>
          <w:szCs w:val="24"/>
        </w:rPr>
        <w:lastRenderedPageBreak/>
        <w:t>justificación, para luego solicitar la autorización de la suficiencia presupuestal a la Subsecretaría de Egresos.</w:t>
      </w:r>
    </w:p>
    <w:p w14:paraId="1C93CB92" w14:textId="77777777" w:rsidR="00693BDA" w:rsidRPr="005866EA" w:rsidRDefault="00693BDA" w:rsidP="00693BDA">
      <w:pPr>
        <w:spacing w:line="480" w:lineRule="auto"/>
        <w:jc w:val="center"/>
        <w:rPr>
          <w:rFonts w:ascii="Arial" w:hAnsi="Arial" w:cs="Arial"/>
          <w:b/>
          <w:bCs/>
          <w:sz w:val="24"/>
          <w:szCs w:val="24"/>
        </w:rPr>
      </w:pPr>
      <w:r w:rsidRPr="005866EA">
        <w:rPr>
          <w:rFonts w:ascii="Arial" w:hAnsi="Arial" w:cs="Arial"/>
          <w:b/>
          <w:bCs/>
          <w:sz w:val="24"/>
          <w:szCs w:val="24"/>
        </w:rPr>
        <w:t xml:space="preserve">ESTRUCTURAS </w:t>
      </w:r>
    </w:p>
    <w:p w14:paraId="6CF5528A" w14:textId="77777777" w:rsidR="00693BDA" w:rsidRPr="00CE127C" w:rsidRDefault="00693BDA" w:rsidP="00693BDA">
      <w:pPr>
        <w:spacing w:line="480" w:lineRule="auto"/>
        <w:jc w:val="both"/>
        <w:rPr>
          <w:rFonts w:ascii="Arial" w:hAnsi="Arial" w:cs="Arial"/>
          <w:sz w:val="24"/>
          <w:szCs w:val="24"/>
        </w:rPr>
      </w:pPr>
      <w:r w:rsidRPr="005866EA">
        <w:rPr>
          <w:rFonts w:ascii="Arial" w:hAnsi="Arial" w:cs="Arial"/>
          <w:sz w:val="24"/>
          <w:szCs w:val="24"/>
        </w:rPr>
        <w:t xml:space="preserve">94. Los </w:t>
      </w:r>
      <w:r w:rsidRPr="00CE127C">
        <w:rPr>
          <w:rFonts w:ascii="Arial" w:hAnsi="Arial" w:cs="Arial"/>
          <w:sz w:val="24"/>
          <w:szCs w:val="24"/>
        </w:rPr>
        <w:t>movimientos que realicen los ejecutores del gasto a sus estructuras o plantillas de personal deberán ser primeramente autorizadas por la Subsecretaría de Administración y después ser enviados a la Subsecretaría de Egresos para la autorización presupuestal. Estos movimientos deberán realizarse mediante adecuaciones presupuestarias compensadas dentro del propio capítulo de servicios personales, de tal forma que en ningún caso incrementarán el presupuesto regularizable para servicios personales del ejercicio fiscal inmediato siguiente.</w:t>
      </w:r>
    </w:p>
    <w:p w14:paraId="1A6C624F"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En casos excepcionales y debidamente justificados por los titulares de los ejecutores del gasto, por tratarse de movimientos directamente necesarios para cumplir los objetivos y metas de los programas aprobados en sus respectivos presupuestos, dichos ejecutores de gasto podrán realizar adecuaciones presupuestarias en términos de las disposiciones legales aplicables.</w:t>
      </w:r>
    </w:p>
    <w:p w14:paraId="4B043303"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 xml:space="preserve">95. Para la creación de plazas de estructura orgánica o de la plantilla deberán sujetarse a lo siguiente:                                           </w:t>
      </w:r>
    </w:p>
    <w:p w14:paraId="7B25CA69"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 xml:space="preserve">I.- La autorización de nuevas estructuras orgánicas, deberán ser autorizadas por la función pública y contar con la suficiencia presupuestal.                                                                                                      </w:t>
      </w:r>
    </w:p>
    <w:p w14:paraId="73D3138E"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II.- Para la creación de plazas deberán ser primero autorizadas por la Subsecretaría de Administración y después ser enviadas a la Subsecretaría de Egresos para la autorización presupuestal.</w:t>
      </w:r>
    </w:p>
    <w:p w14:paraId="03A220B5"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lastRenderedPageBreak/>
        <w:t xml:space="preserve">96. De manera excepcional se podrán pagar retroactivos en los siguientes casos:                                                                                                        </w:t>
      </w:r>
    </w:p>
    <w:p w14:paraId="7DCD6570"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 xml:space="preserve">I.- Cuando derive de una creación de plaza que, por su trámite correspondiente, no se pueda pagar a partir de su autorización, y  </w:t>
      </w:r>
    </w:p>
    <w:p w14:paraId="279F7978" w14:textId="0218B409"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II.- Los retroactivos que deriven de movimientos en plazas existentes.</w:t>
      </w:r>
    </w:p>
    <w:p w14:paraId="243E26C1" w14:textId="08BF758B"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En ambos casos podrán pagarse hasta por un periodo máximo de 60 días naturales, considerando la fecha en que la plaza haya sido efectivamente ocupada.</w:t>
      </w:r>
    </w:p>
    <w:p w14:paraId="7F61803E"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Los movimientos a que se refiere este lineamiento deberán ser primeramente autorizados por la Subsecretaría de Administración, en el ámbito de su competencia, y después ser enviados a la Subsecretaría de Egresos para su autorización presupuestal.</w:t>
      </w:r>
    </w:p>
    <w:p w14:paraId="5A81CB53" w14:textId="77777777" w:rsidR="00693BDA" w:rsidRPr="005866EA" w:rsidRDefault="00693BDA" w:rsidP="00693BDA">
      <w:pPr>
        <w:spacing w:line="480" w:lineRule="auto"/>
        <w:jc w:val="center"/>
        <w:rPr>
          <w:rFonts w:ascii="Arial" w:eastAsia="Times New Roman" w:hAnsi="Arial" w:cs="Arial"/>
          <w:b/>
          <w:bCs/>
          <w:sz w:val="24"/>
          <w:szCs w:val="24"/>
          <w:lang w:eastAsia="es-MX"/>
        </w:rPr>
      </w:pPr>
      <w:r w:rsidRPr="005866EA">
        <w:rPr>
          <w:rFonts w:ascii="Arial" w:eastAsia="Times New Roman" w:hAnsi="Arial" w:cs="Arial"/>
          <w:b/>
          <w:bCs/>
          <w:sz w:val="24"/>
          <w:szCs w:val="24"/>
          <w:lang w:eastAsia="es-MX"/>
        </w:rPr>
        <w:t>CONTROL PRESUPUESTARIO DE SERVICIOS PERSONALES</w:t>
      </w:r>
    </w:p>
    <w:p w14:paraId="21C54AA1" w14:textId="77777777" w:rsidR="00CF6995" w:rsidRDefault="00693BDA" w:rsidP="00693BDA">
      <w:pPr>
        <w:spacing w:line="480" w:lineRule="auto"/>
        <w:jc w:val="both"/>
        <w:rPr>
          <w:rFonts w:ascii="Arial" w:hAnsi="Arial" w:cs="Arial"/>
          <w:sz w:val="24"/>
          <w:szCs w:val="24"/>
        </w:rPr>
      </w:pPr>
      <w:r w:rsidRPr="005866EA">
        <w:rPr>
          <w:rFonts w:ascii="Arial" w:hAnsi="Arial" w:cs="Arial"/>
          <w:sz w:val="24"/>
          <w:szCs w:val="24"/>
        </w:rPr>
        <w:t xml:space="preserve">98. Las </w:t>
      </w:r>
      <w:r w:rsidRPr="00CE127C">
        <w:rPr>
          <w:rFonts w:ascii="Arial" w:hAnsi="Arial" w:cs="Arial"/>
          <w:sz w:val="24"/>
          <w:szCs w:val="24"/>
        </w:rPr>
        <w:t>economías de las Dependencias generadas por vacancia serán reservadas por la Secretaría después de pasados 60 días naturales. Exceptuándose de lo anterior aquellas plazas que sean de estructura, que formen parte de los servicios de salud, personal para programas sociales, o miembros integrantes del servicio profesional de carrera. Estos recursos serán utilizados para cubrir los requerimientos dentro del mismo Capítulo 1000 de Servicios Personales.</w:t>
      </w:r>
    </w:p>
    <w:p w14:paraId="40621248" w14:textId="6D720E61" w:rsidR="00693BDA" w:rsidRPr="00CF6995" w:rsidRDefault="00CF6995" w:rsidP="00CF6995">
      <w:pPr>
        <w:spacing w:line="480" w:lineRule="auto"/>
        <w:jc w:val="center"/>
        <w:rPr>
          <w:rFonts w:ascii="Arial" w:hAnsi="Arial" w:cs="Arial"/>
          <w:b/>
          <w:bCs/>
          <w:sz w:val="24"/>
          <w:szCs w:val="24"/>
        </w:rPr>
      </w:pPr>
      <w:r w:rsidRPr="00804948">
        <w:rPr>
          <w:rFonts w:ascii="Arial" w:hAnsi="Arial" w:cs="Arial"/>
          <w:b/>
          <w:bCs/>
          <w:sz w:val="24"/>
          <w:szCs w:val="24"/>
        </w:rPr>
        <w:t xml:space="preserve">OBLIGACIONES FISCALES Y DE SEGURIDAD SOCIAL </w:t>
      </w:r>
      <w:r w:rsidR="00693BDA" w:rsidRPr="00CE127C">
        <w:rPr>
          <w:rFonts w:ascii="Arial" w:hAnsi="Arial" w:cs="Arial"/>
          <w:sz w:val="24"/>
          <w:szCs w:val="24"/>
        </w:rPr>
        <w:t xml:space="preserve">              </w:t>
      </w:r>
    </w:p>
    <w:p w14:paraId="0D6439EA"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 xml:space="preserve">100. Los ejecutores de gasto, con cargo a sus respectivos presupuestos y de conformidad con las disposiciones generales aplicables, deberán asegurarse de </w:t>
      </w:r>
      <w:r w:rsidRPr="00CE127C">
        <w:rPr>
          <w:rFonts w:ascii="Arial" w:hAnsi="Arial" w:cs="Arial"/>
          <w:sz w:val="24"/>
          <w:szCs w:val="24"/>
        </w:rPr>
        <w:lastRenderedPageBreak/>
        <w:t>cubrir las contribuciones estatales y municipales, así como las aportaciones a la seguridad social que les corresponda.</w:t>
      </w:r>
    </w:p>
    <w:p w14:paraId="590E6CBF" w14:textId="77777777" w:rsidR="00693BDA" w:rsidRPr="005866EA" w:rsidRDefault="00693BDA" w:rsidP="00693BDA">
      <w:pPr>
        <w:spacing w:line="480" w:lineRule="auto"/>
        <w:jc w:val="center"/>
        <w:rPr>
          <w:rFonts w:ascii="Arial" w:eastAsia="Times New Roman" w:hAnsi="Arial" w:cs="Arial"/>
          <w:b/>
          <w:bCs/>
          <w:sz w:val="24"/>
          <w:szCs w:val="24"/>
          <w:lang w:eastAsia="es-MX"/>
        </w:rPr>
      </w:pPr>
      <w:r w:rsidRPr="005866EA">
        <w:rPr>
          <w:rFonts w:ascii="Arial" w:eastAsia="Times New Roman" w:hAnsi="Arial" w:cs="Arial"/>
          <w:b/>
          <w:bCs/>
          <w:sz w:val="24"/>
          <w:szCs w:val="24"/>
          <w:lang w:eastAsia="es-MX"/>
        </w:rPr>
        <w:t>CAPÍTULO QUINTO BIS</w:t>
      </w:r>
    </w:p>
    <w:p w14:paraId="196EB1B5" w14:textId="77777777" w:rsidR="00693BDA" w:rsidRPr="005866EA" w:rsidRDefault="00693BDA" w:rsidP="00693BDA">
      <w:pPr>
        <w:spacing w:line="480" w:lineRule="auto"/>
        <w:jc w:val="center"/>
        <w:rPr>
          <w:rFonts w:ascii="Arial" w:eastAsia="Times New Roman" w:hAnsi="Arial" w:cs="Arial"/>
          <w:sz w:val="24"/>
          <w:szCs w:val="24"/>
          <w:lang w:eastAsia="es-MX"/>
        </w:rPr>
      </w:pPr>
      <w:r w:rsidRPr="005866EA">
        <w:rPr>
          <w:rFonts w:ascii="Arial" w:eastAsia="Times New Roman" w:hAnsi="Arial" w:cs="Arial"/>
          <w:b/>
          <w:bCs/>
          <w:sz w:val="24"/>
          <w:szCs w:val="24"/>
          <w:lang w:eastAsia="es-MX"/>
        </w:rPr>
        <w:t>CONTRATACIONES POR HONORARIOS</w:t>
      </w:r>
    </w:p>
    <w:p w14:paraId="46A429D2" w14:textId="77777777" w:rsidR="00693BDA" w:rsidRPr="005866EA" w:rsidRDefault="00693BDA" w:rsidP="00693BDA">
      <w:pPr>
        <w:spacing w:line="480" w:lineRule="auto"/>
        <w:jc w:val="both"/>
        <w:rPr>
          <w:rFonts w:ascii="Arial" w:hAnsi="Arial" w:cs="Arial"/>
          <w:sz w:val="24"/>
          <w:szCs w:val="24"/>
        </w:rPr>
      </w:pPr>
      <w:r w:rsidRPr="007A12C6">
        <w:rPr>
          <w:rFonts w:ascii="Arial" w:hAnsi="Arial" w:cs="Arial"/>
          <w:sz w:val="24"/>
          <w:szCs w:val="24"/>
        </w:rPr>
        <w:t>101. Los ejecutores</w:t>
      </w:r>
      <w:r w:rsidRPr="005866EA">
        <w:rPr>
          <w:rFonts w:ascii="Arial" w:hAnsi="Arial" w:cs="Arial"/>
          <w:sz w:val="24"/>
          <w:szCs w:val="24"/>
        </w:rPr>
        <w:t xml:space="preserve"> de gasto podrán celebrar </w:t>
      </w:r>
      <w:r w:rsidRPr="00CE127C">
        <w:rPr>
          <w:rFonts w:ascii="Arial" w:hAnsi="Arial" w:cs="Arial"/>
          <w:sz w:val="24"/>
          <w:szCs w:val="24"/>
        </w:rPr>
        <w:t>contratos de prestación de servicios profesionales por honorarios con las personas físicas, con cargo a su presupuesto, únicamente cuando se reúnan los siguientes requisitos:</w:t>
      </w:r>
      <w:r w:rsidRPr="005866EA">
        <w:rPr>
          <w:rFonts w:ascii="Arial" w:hAnsi="Arial" w:cs="Arial"/>
          <w:sz w:val="24"/>
          <w:szCs w:val="24"/>
        </w:rPr>
        <w:t xml:space="preserve">                                                      </w:t>
      </w:r>
    </w:p>
    <w:p w14:paraId="22E5388E" w14:textId="77777777" w:rsidR="00693BDA" w:rsidRPr="00CE127C" w:rsidRDefault="00693BDA" w:rsidP="00693BDA">
      <w:pPr>
        <w:spacing w:line="480" w:lineRule="auto"/>
        <w:jc w:val="both"/>
        <w:rPr>
          <w:rFonts w:ascii="Arial" w:hAnsi="Arial" w:cs="Arial"/>
          <w:sz w:val="24"/>
          <w:szCs w:val="24"/>
        </w:rPr>
      </w:pPr>
      <w:r w:rsidRPr="005866EA">
        <w:rPr>
          <w:rFonts w:ascii="Arial" w:hAnsi="Arial" w:cs="Arial"/>
          <w:sz w:val="24"/>
          <w:szCs w:val="24"/>
        </w:rPr>
        <w:t xml:space="preserve">I. Los recursos </w:t>
      </w:r>
      <w:r w:rsidRPr="00CE127C">
        <w:rPr>
          <w:rFonts w:ascii="Arial" w:hAnsi="Arial" w:cs="Arial"/>
          <w:sz w:val="24"/>
          <w:szCs w:val="24"/>
        </w:rPr>
        <w:t xml:space="preserve">destinados a celebrar tales contratos deberán estar expresamente previstos para tal efecto en sus respectivos presupuestos autorizados, o bien, cualquier ajuste en los recursos destinados deberán estar sustentados a través de los convenios correspondientes;                                                         </w:t>
      </w:r>
    </w:p>
    <w:p w14:paraId="4EB75C34" w14:textId="69F6C6F9"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II.</w:t>
      </w:r>
      <w:r w:rsidR="007A12C6">
        <w:rPr>
          <w:rFonts w:ascii="Arial" w:hAnsi="Arial" w:cs="Arial"/>
          <w:sz w:val="24"/>
          <w:szCs w:val="24"/>
        </w:rPr>
        <w:t xml:space="preserve"> </w:t>
      </w:r>
      <w:r w:rsidR="007A12C6" w:rsidRPr="00360897">
        <w:rPr>
          <w:rFonts w:ascii="Arial" w:hAnsi="Arial" w:cs="Arial"/>
          <w:sz w:val="24"/>
          <w:szCs w:val="24"/>
        </w:rPr>
        <w:t>Los contratos no podrán exceder la vigencia anual de cada Presupuesto de Egresos;</w:t>
      </w:r>
    </w:p>
    <w:p w14:paraId="6B590EB4"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 xml:space="preserve">III. El monto mensual bruto que se pacte por concepto de honorarios deberá estar justificado en la relación a la actividad a realizar, con la obligación de que el prestador de servicios entregue un informe mensual al ejecutor de gasto.             </w:t>
      </w:r>
    </w:p>
    <w:p w14:paraId="52960B19"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IV. Que la contratación del prestador de servicios esté debidamente justificada, acorde con los programas que competen al respectivo ejecutor de gasto, y que no exista dentro de la organización personal encomendado para realizar la misma actividad a realizar.</w:t>
      </w:r>
    </w:p>
    <w:p w14:paraId="613493B9"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lastRenderedPageBreak/>
        <w:t xml:space="preserve">106. Para la solicitud de suficiencia presupuestal de recursos federales y contrapartes de éstos, es requisito indispensable contar con la vigencia del Convenio, a su vez es responsabilidad de la Secretaría realizar la transferencia al ente ejecutor conforme a lo establecido en dicho Convenio; siempre y cuando se haya recibido la instrucción de pago con el debido soporte.                        </w:t>
      </w:r>
    </w:p>
    <w:p w14:paraId="391411A6" w14:textId="77777777" w:rsidR="00693BDA" w:rsidRPr="00CE127C" w:rsidRDefault="00693BDA" w:rsidP="00693BDA">
      <w:pPr>
        <w:spacing w:line="480" w:lineRule="auto"/>
        <w:jc w:val="both"/>
        <w:rPr>
          <w:rFonts w:ascii="Arial" w:hAnsi="Arial" w:cs="Arial"/>
          <w:sz w:val="24"/>
          <w:szCs w:val="24"/>
        </w:rPr>
      </w:pPr>
      <w:r w:rsidRPr="00CE127C">
        <w:rPr>
          <w:rFonts w:ascii="Arial" w:hAnsi="Arial" w:cs="Arial"/>
          <w:sz w:val="24"/>
          <w:szCs w:val="24"/>
        </w:rPr>
        <w:t>147. Los pagos de servicios básicos (agua, energía eléctrica, gas), servicios de internet y telecomunicaciones (telefonía celular, telefonía tradicional, servicios de acceso a internet, redes y procesamiento de información y servicios de telecomunicaciones y satélites), se tramitarán exclusivamente a través de la Coordinación Administrativa y de Servicios de la Secretaría.  En el rubro de servicio telefónico sólo se podrán contratar líneas celulares para aquellos servidores que desempeñen tareas de seguridad pública, protección civil, inspección sanitaria, sistemas de peaje carretero y atención de emergencias, siempre y cuando se trate de planes tarifarios básicos, buscando el menor costo disponible.</w:t>
      </w:r>
    </w:p>
    <w:p w14:paraId="51F5E74B" w14:textId="77777777" w:rsidR="00693BDA" w:rsidRPr="005866EA" w:rsidRDefault="00693BDA" w:rsidP="00693BDA">
      <w:pPr>
        <w:spacing w:line="480" w:lineRule="auto"/>
        <w:jc w:val="both"/>
        <w:rPr>
          <w:rFonts w:ascii="Arial" w:hAnsi="Arial" w:cs="Arial"/>
          <w:sz w:val="24"/>
          <w:szCs w:val="24"/>
        </w:rPr>
      </w:pPr>
      <w:r w:rsidRPr="00CE127C">
        <w:rPr>
          <w:rFonts w:ascii="Arial" w:hAnsi="Arial" w:cs="Arial"/>
          <w:sz w:val="24"/>
          <w:szCs w:val="24"/>
        </w:rPr>
        <w:t>161. A efecto de solicitar la reposición del fondo revolvente, el ejecutor del gasto deberá realizar la captura y pago de los comprobantes fiscales y/o recibos en el sistema del fondo revolvente y generar:</w:t>
      </w:r>
      <w:r w:rsidRPr="005866EA">
        <w:rPr>
          <w:rFonts w:ascii="Arial" w:hAnsi="Arial" w:cs="Arial"/>
          <w:sz w:val="24"/>
          <w:szCs w:val="24"/>
        </w:rPr>
        <w:t xml:space="preserve"> </w:t>
      </w:r>
    </w:p>
    <w:p w14:paraId="61B707DA" w14:textId="6D18EFB2"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t xml:space="preserve">I. Reposición de fondo revolvente detallado </w:t>
      </w:r>
    </w:p>
    <w:p w14:paraId="52A747BA" w14:textId="4B9E9FD1"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t xml:space="preserve">II. Grupo de pago Fondo Revolvente </w:t>
      </w:r>
    </w:p>
    <w:p w14:paraId="767795A4" w14:textId="037731D3" w:rsidR="00693BDA" w:rsidRPr="005866EA" w:rsidRDefault="00693BDA" w:rsidP="00693BDA">
      <w:pPr>
        <w:spacing w:line="480" w:lineRule="auto"/>
        <w:jc w:val="both"/>
        <w:rPr>
          <w:rFonts w:ascii="Arial" w:hAnsi="Arial" w:cs="Arial"/>
          <w:sz w:val="24"/>
          <w:szCs w:val="24"/>
        </w:rPr>
      </w:pPr>
      <w:r w:rsidRPr="005866EA">
        <w:rPr>
          <w:rFonts w:ascii="Arial" w:hAnsi="Arial" w:cs="Arial"/>
          <w:sz w:val="24"/>
          <w:szCs w:val="24"/>
        </w:rPr>
        <w:t>I</w:t>
      </w:r>
      <w:r w:rsidR="00CF6995">
        <w:rPr>
          <w:rFonts w:ascii="Arial" w:hAnsi="Arial" w:cs="Arial"/>
          <w:sz w:val="24"/>
          <w:szCs w:val="24"/>
        </w:rPr>
        <w:t>II</w:t>
      </w:r>
      <w:r w:rsidRPr="005866EA">
        <w:rPr>
          <w:rFonts w:ascii="Arial" w:hAnsi="Arial" w:cs="Arial"/>
          <w:sz w:val="24"/>
          <w:szCs w:val="24"/>
        </w:rPr>
        <w:t xml:space="preserve">. Instrucción de Pago Detallado </w:t>
      </w:r>
    </w:p>
    <w:p w14:paraId="64B4A412" w14:textId="0EBF25CD" w:rsidR="00693BDA" w:rsidRPr="005866EA" w:rsidRDefault="00CF6995" w:rsidP="00693BDA">
      <w:pPr>
        <w:spacing w:line="480" w:lineRule="auto"/>
        <w:jc w:val="both"/>
        <w:rPr>
          <w:rFonts w:ascii="Arial" w:eastAsia="Times New Roman" w:hAnsi="Arial" w:cs="Arial"/>
          <w:sz w:val="24"/>
          <w:szCs w:val="24"/>
          <w:lang w:eastAsia="es-MX"/>
        </w:rPr>
      </w:pPr>
      <w:r>
        <w:rPr>
          <w:rFonts w:ascii="Arial" w:hAnsi="Arial" w:cs="Arial"/>
          <w:sz w:val="24"/>
          <w:szCs w:val="24"/>
        </w:rPr>
        <w:t>I</w:t>
      </w:r>
      <w:r w:rsidR="00693BDA" w:rsidRPr="005866EA">
        <w:rPr>
          <w:rFonts w:ascii="Arial" w:hAnsi="Arial" w:cs="Arial"/>
          <w:sz w:val="24"/>
          <w:szCs w:val="24"/>
        </w:rPr>
        <w:t xml:space="preserve">V. Instrucción de Pago.  </w:t>
      </w:r>
      <w:r w:rsidR="00693BDA" w:rsidRPr="005866EA">
        <w:rPr>
          <w:rFonts w:ascii="Arial" w:eastAsia="Times New Roman" w:hAnsi="Arial" w:cs="Arial"/>
          <w:sz w:val="24"/>
          <w:szCs w:val="24"/>
          <w:lang w:eastAsia="es-MX"/>
        </w:rPr>
        <w:t xml:space="preserve">                                                        </w:t>
      </w:r>
    </w:p>
    <w:p w14:paraId="78891672" w14:textId="77777777" w:rsidR="003A79AA" w:rsidRPr="00CF1180" w:rsidRDefault="003A79AA" w:rsidP="003A79AA">
      <w:pPr>
        <w:rPr>
          <w:rFonts w:ascii="Arial" w:eastAsia="Times New Roman" w:hAnsi="Arial" w:cs="Arial"/>
          <w:sz w:val="24"/>
          <w:szCs w:val="24"/>
          <w:lang w:eastAsia="es-MX"/>
        </w:rPr>
      </w:pPr>
    </w:p>
    <w:p w14:paraId="3E2F1EEE" w14:textId="77777777" w:rsidR="003A79AA" w:rsidRPr="00CF1180" w:rsidRDefault="003A79AA" w:rsidP="003A79AA">
      <w:pPr>
        <w:jc w:val="center"/>
        <w:rPr>
          <w:rFonts w:ascii="Arial" w:eastAsia="Times New Roman" w:hAnsi="Arial" w:cs="Arial"/>
          <w:sz w:val="24"/>
          <w:szCs w:val="24"/>
          <w:lang w:eastAsia="es-MX"/>
        </w:rPr>
      </w:pPr>
      <w:r w:rsidRPr="00CF1180">
        <w:rPr>
          <w:rFonts w:ascii="Arial" w:hAnsi="Arial" w:cs="Arial"/>
          <w:b/>
          <w:bCs/>
          <w:sz w:val="24"/>
          <w:szCs w:val="24"/>
        </w:rPr>
        <w:lastRenderedPageBreak/>
        <w:t>ANEXO 3</w:t>
      </w:r>
    </w:p>
    <w:p w14:paraId="30C272B1" w14:textId="77777777" w:rsidR="003A79AA" w:rsidRPr="00CF1180" w:rsidRDefault="003A79AA" w:rsidP="003A79AA">
      <w:pPr>
        <w:spacing w:after="360"/>
        <w:jc w:val="center"/>
        <w:rPr>
          <w:rFonts w:ascii="Arial" w:hAnsi="Arial" w:cs="Arial"/>
          <w:b/>
          <w:bCs/>
          <w:sz w:val="24"/>
          <w:szCs w:val="24"/>
        </w:rPr>
      </w:pPr>
      <w:r w:rsidRPr="00CF1180">
        <w:rPr>
          <w:rFonts w:ascii="Arial" w:hAnsi="Arial" w:cs="Arial"/>
          <w:b/>
          <w:bCs/>
          <w:sz w:val="24"/>
          <w:szCs w:val="24"/>
        </w:rPr>
        <w:t>TARIFAS DE VIÁTICOS LOCALES POR GRUPOS JERÁRQUICOS Y ZONIFICACIÓN</w:t>
      </w:r>
    </w:p>
    <w:p w14:paraId="2EB6CF29" w14:textId="77777777" w:rsidR="003A79AA" w:rsidRPr="00CF1180" w:rsidRDefault="003A79AA" w:rsidP="003A79AA">
      <w:pPr>
        <w:jc w:val="center"/>
        <w:rPr>
          <w:rFonts w:ascii="Arial" w:eastAsia="Times New Roman" w:hAnsi="Arial" w:cs="Arial"/>
          <w:sz w:val="24"/>
          <w:szCs w:val="24"/>
          <w:lang w:eastAsia="es-MX"/>
        </w:rPr>
      </w:pPr>
      <w:r w:rsidRPr="00CF1180">
        <w:rPr>
          <w:rFonts w:ascii="Arial" w:hAnsi="Arial" w:cs="Arial"/>
          <w:b/>
          <w:bCs/>
          <w:sz w:val="24"/>
          <w:szCs w:val="24"/>
        </w:rPr>
        <w:t>LAS TARIFAS EXPRESADAS EN EL PRESENTE APÉNDICE SE CALCULARÁN DE ACUERDO AL VALOR DIARIO DE LA UNIDAD DE MEDIDA Y ACTUALIZACIÓN VIGENTE (UMA), LAS CUALES INCLUYEN EL IMPUESTO AL VALOR AGREGADO.</w:t>
      </w:r>
    </w:p>
    <w:p w14:paraId="36363016" w14:textId="77777777" w:rsidR="003A79AA" w:rsidRPr="00CF1180" w:rsidRDefault="003A79AA" w:rsidP="003A79AA">
      <w:pPr>
        <w:rPr>
          <w:rFonts w:ascii="Arial" w:eastAsia="Times New Roman" w:hAnsi="Arial" w:cs="Arial"/>
          <w:sz w:val="24"/>
          <w:szCs w:val="24"/>
          <w:lang w:eastAsia="es-MX"/>
        </w:rPr>
      </w:pPr>
    </w:p>
    <w:tbl>
      <w:tblPr>
        <w:tblW w:w="6374" w:type="dxa"/>
        <w:jc w:val="center"/>
        <w:tblCellMar>
          <w:top w:w="15" w:type="dxa"/>
          <w:left w:w="70" w:type="dxa"/>
          <w:right w:w="70" w:type="dxa"/>
        </w:tblCellMar>
        <w:tblLook w:val="04A0" w:firstRow="1" w:lastRow="0" w:firstColumn="1" w:lastColumn="0" w:noHBand="0" w:noVBand="1"/>
      </w:tblPr>
      <w:tblGrid>
        <w:gridCol w:w="1741"/>
        <w:gridCol w:w="1469"/>
        <w:gridCol w:w="1469"/>
        <w:gridCol w:w="1469"/>
        <w:gridCol w:w="226"/>
      </w:tblGrid>
      <w:tr w:rsidR="003A79AA" w:rsidRPr="00CF1180" w14:paraId="36504BE4" w14:textId="77777777" w:rsidTr="00AB71B5">
        <w:trPr>
          <w:gridAfter w:val="1"/>
          <w:wAfter w:w="226" w:type="dxa"/>
          <w:trHeight w:val="324"/>
          <w:jc w:val="center"/>
        </w:trPr>
        <w:tc>
          <w:tcPr>
            <w:tcW w:w="6148" w:type="dxa"/>
            <w:gridSpan w:val="4"/>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57DF8DD0"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ZONA I</w:t>
            </w:r>
          </w:p>
        </w:tc>
      </w:tr>
      <w:tr w:rsidR="003A79AA" w:rsidRPr="00CF1180" w14:paraId="0B4CAB04" w14:textId="77777777" w:rsidTr="00AB71B5">
        <w:trPr>
          <w:gridAfter w:val="1"/>
          <w:wAfter w:w="226" w:type="dxa"/>
          <w:trHeight w:val="682"/>
          <w:jc w:val="center"/>
        </w:trPr>
        <w:tc>
          <w:tcPr>
            <w:tcW w:w="1741" w:type="dxa"/>
            <w:tcBorders>
              <w:top w:val="nil"/>
              <w:left w:val="single" w:sz="4" w:space="0" w:color="auto"/>
              <w:bottom w:val="single" w:sz="4" w:space="0" w:color="auto"/>
              <w:right w:val="single" w:sz="4" w:space="0" w:color="auto"/>
            </w:tcBorders>
            <w:shd w:val="clear" w:color="000000" w:fill="ACB9CA"/>
            <w:noWrap/>
            <w:vAlign w:val="bottom"/>
            <w:hideMark/>
          </w:tcPr>
          <w:p w14:paraId="417C2FD0"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JERÁRQUICO</w:t>
            </w:r>
          </w:p>
          <w:p w14:paraId="54430B10"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p>
          <w:p w14:paraId="2B0C501D"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p>
        </w:tc>
        <w:tc>
          <w:tcPr>
            <w:tcW w:w="1469" w:type="dxa"/>
            <w:tcBorders>
              <w:top w:val="nil"/>
              <w:left w:val="nil"/>
              <w:bottom w:val="single" w:sz="4" w:space="0" w:color="auto"/>
              <w:right w:val="single" w:sz="4" w:space="0" w:color="auto"/>
            </w:tcBorders>
            <w:shd w:val="clear" w:color="000000" w:fill="ACB9CA"/>
            <w:vAlign w:val="bottom"/>
            <w:hideMark/>
          </w:tcPr>
          <w:p w14:paraId="126A2036"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TARIFA &lt;12HRS SIN PERNOCTA</w:t>
            </w:r>
          </w:p>
        </w:tc>
        <w:tc>
          <w:tcPr>
            <w:tcW w:w="1469" w:type="dxa"/>
            <w:tcBorders>
              <w:top w:val="nil"/>
              <w:left w:val="nil"/>
              <w:bottom w:val="single" w:sz="4" w:space="0" w:color="auto"/>
              <w:right w:val="single" w:sz="4" w:space="0" w:color="auto"/>
            </w:tcBorders>
            <w:shd w:val="clear" w:color="000000" w:fill="ACB9CA"/>
            <w:vAlign w:val="bottom"/>
            <w:hideMark/>
          </w:tcPr>
          <w:p w14:paraId="0C626986"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TARIFA SIN PERNOCTA</w:t>
            </w:r>
          </w:p>
        </w:tc>
        <w:tc>
          <w:tcPr>
            <w:tcW w:w="1469" w:type="dxa"/>
            <w:tcBorders>
              <w:top w:val="nil"/>
              <w:left w:val="nil"/>
              <w:bottom w:val="single" w:sz="4" w:space="0" w:color="auto"/>
              <w:right w:val="single" w:sz="4" w:space="0" w:color="auto"/>
            </w:tcBorders>
            <w:shd w:val="clear" w:color="000000" w:fill="ACB9CA"/>
            <w:vAlign w:val="bottom"/>
            <w:hideMark/>
          </w:tcPr>
          <w:p w14:paraId="3676EC1B"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TARIFA CON PERNOCTA</w:t>
            </w:r>
          </w:p>
        </w:tc>
      </w:tr>
      <w:tr w:rsidR="003A79AA" w:rsidRPr="00CF1180" w14:paraId="78C90EDB" w14:textId="77777777" w:rsidTr="00AB71B5">
        <w:trPr>
          <w:gridAfter w:val="1"/>
          <w:wAfter w:w="226" w:type="dxa"/>
          <w:trHeight w:val="324"/>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17497ED0"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w:t>
            </w:r>
          </w:p>
        </w:tc>
        <w:tc>
          <w:tcPr>
            <w:tcW w:w="1469" w:type="dxa"/>
            <w:tcBorders>
              <w:top w:val="nil"/>
              <w:left w:val="nil"/>
              <w:bottom w:val="single" w:sz="4" w:space="0" w:color="auto"/>
              <w:right w:val="single" w:sz="4" w:space="0" w:color="auto"/>
            </w:tcBorders>
            <w:shd w:val="clear" w:color="auto" w:fill="auto"/>
            <w:noWrap/>
            <w:vAlign w:val="bottom"/>
            <w:hideMark/>
          </w:tcPr>
          <w:p w14:paraId="7992BA8A"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4</w:t>
            </w:r>
          </w:p>
        </w:tc>
        <w:tc>
          <w:tcPr>
            <w:tcW w:w="1469" w:type="dxa"/>
            <w:tcBorders>
              <w:top w:val="nil"/>
              <w:left w:val="nil"/>
              <w:bottom w:val="single" w:sz="4" w:space="0" w:color="auto"/>
              <w:right w:val="single" w:sz="4" w:space="0" w:color="auto"/>
            </w:tcBorders>
            <w:shd w:val="clear" w:color="auto" w:fill="auto"/>
            <w:noWrap/>
            <w:vAlign w:val="bottom"/>
            <w:hideMark/>
          </w:tcPr>
          <w:p w14:paraId="0D0B3D31"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12</w:t>
            </w:r>
          </w:p>
        </w:tc>
        <w:tc>
          <w:tcPr>
            <w:tcW w:w="1469" w:type="dxa"/>
            <w:tcBorders>
              <w:top w:val="nil"/>
              <w:left w:val="nil"/>
              <w:bottom w:val="single" w:sz="4" w:space="0" w:color="auto"/>
              <w:right w:val="single" w:sz="4" w:space="0" w:color="auto"/>
            </w:tcBorders>
            <w:shd w:val="clear" w:color="auto" w:fill="auto"/>
            <w:noWrap/>
            <w:vAlign w:val="bottom"/>
            <w:hideMark/>
          </w:tcPr>
          <w:p w14:paraId="03373A6D"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16</w:t>
            </w:r>
          </w:p>
        </w:tc>
      </w:tr>
      <w:tr w:rsidR="003A79AA" w:rsidRPr="00CF1180" w14:paraId="74BD9BCE" w14:textId="77777777" w:rsidTr="00AB71B5">
        <w:trPr>
          <w:gridAfter w:val="1"/>
          <w:wAfter w:w="226" w:type="dxa"/>
          <w:trHeight w:val="324"/>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544BEEA8"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II</w:t>
            </w:r>
          </w:p>
        </w:tc>
        <w:tc>
          <w:tcPr>
            <w:tcW w:w="1469" w:type="dxa"/>
            <w:tcBorders>
              <w:top w:val="nil"/>
              <w:left w:val="nil"/>
              <w:bottom w:val="single" w:sz="4" w:space="0" w:color="auto"/>
              <w:right w:val="single" w:sz="4" w:space="0" w:color="auto"/>
            </w:tcBorders>
            <w:shd w:val="clear" w:color="auto" w:fill="auto"/>
            <w:noWrap/>
            <w:vAlign w:val="bottom"/>
            <w:hideMark/>
          </w:tcPr>
          <w:p w14:paraId="000F809F"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4</w:t>
            </w:r>
          </w:p>
        </w:tc>
        <w:tc>
          <w:tcPr>
            <w:tcW w:w="1469" w:type="dxa"/>
            <w:tcBorders>
              <w:top w:val="nil"/>
              <w:left w:val="nil"/>
              <w:bottom w:val="single" w:sz="4" w:space="0" w:color="auto"/>
              <w:right w:val="single" w:sz="4" w:space="0" w:color="auto"/>
            </w:tcBorders>
            <w:shd w:val="clear" w:color="auto" w:fill="auto"/>
            <w:noWrap/>
            <w:vAlign w:val="bottom"/>
            <w:hideMark/>
          </w:tcPr>
          <w:p w14:paraId="6DC60237"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11</w:t>
            </w:r>
          </w:p>
        </w:tc>
        <w:tc>
          <w:tcPr>
            <w:tcW w:w="1469" w:type="dxa"/>
            <w:tcBorders>
              <w:top w:val="nil"/>
              <w:left w:val="nil"/>
              <w:bottom w:val="single" w:sz="4" w:space="0" w:color="auto"/>
              <w:right w:val="single" w:sz="4" w:space="0" w:color="auto"/>
            </w:tcBorders>
            <w:shd w:val="clear" w:color="auto" w:fill="auto"/>
            <w:noWrap/>
            <w:vAlign w:val="bottom"/>
            <w:hideMark/>
          </w:tcPr>
          <w:p w14:paraId="604FE97F"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14</w:t>
            </w:r>
          </w:p>
        </w:tc>
      </w:tr>
      <w:tr w:rsidR="003A79AA" w:rsidRPr="00CF1180" w14:paraId="76EA2A70" w14:textId="77777777" w:rsidTr="00AB71B5">
        <w:trPr>
          <w:gridAfter w:val="1"/>
          <w:wAfter w:w="226" w:type="dxa"/>
          <w:trHeight w:val="324"/>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290F128B"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III Y IV</w:t>
            </w:r>
          </w:p>
        </w:tc>
        <w:tc>
          <w:tcPr>
            <w:tcW w:w="1469" w:type="dxa"/>
            <w:tcBorders>
              <w:top w:val="nil"/>
              <w:left w:val="nil"/>
              <w:bottom w:val="single" w:sz="4" w:space="0" w:color="auto"/>
              <w:right w:val="single" w:sz="4" w:space="0" w:color="auto"/>
            </w:tcBorders>
            <w:shd w:val="clear" w:color="auto" w:fill="auto"/>
            <w:noWrap/>
            <w:vAlign w:val="bottom"/>
            <w:hideMark/>
          </w:tcPr>
          <w:p w14:paraId="424716C4"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3</w:t>
            </w:r>
          </w:p>
        </w:tc>
        <w:tc>
          <w:tcPr>
            <w:tcW w:w="1469" w:type="dxa"/>
            <w:tcBorders>
              <w:top w:val="nil"/>
              <w:left w:val="nil"/>
              <w:bottom w:val="single" w:sz="4" w:space="0" w:color="auto"/>
              <w:right w:val="single" w:sz="4" w:space="0" w:color="auto"/>
            </w:tcBorders>
            <w:shd w:val="clear" w:color="auto" w:fill="auto"/>
            <w:noWrap/>
            <w:vAlign w:val="bottom"/>
            <w:hideMark/>
          </w:tcPr>
          <w:p w14:paraId="3C4146DA"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9</w:t>
            </w:r>
          </w:p>
        </w:tc>
        <w:tc>
          <w:tcPr>
            <w:tcW w:w="1469" w:type="dxa"/>
            <w:tcBorders>
              <w:top w:val="nil"/>
              <w:left w:val="nil"/>
              <w:bottom w:val="single" w:sz="4" w:space="0" w:color="auto"/>
              <w:right w:val="single" w:sz="4" w:space="0" w:color="auto"/>
            </w:tcBorders>
            <w:shd w:val="clear" w:color="auto" w:fill="auto"/>
            <w:noWrap/>
            <w:vAlign w:val="bottom"/>
            <w:hideMark/>
          </w:tcPr>
          <w:p w14:paraId="2F47F762"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12</w:t>
            </w:r>
          </w:p>
        </w:tc>
      </w:tr>
      <w:tr w:rsidR="003A79AA" w:rsidRPr="00CF1180" w14:paraId="480222F3" w14:textId="77777777" w:rsidTr="00AB71B5">
        <w:trPr>
          <w:gridAfter w:val="1"/>
          <w:wAfter w:w="226" w:type="dxa"/>
          <w:trHeight w:val="458"/>
          <w:jc w:val="center"/>
        </w:trPr>
        <w:tc>
          <w:tcPr>
            <w:tcW w:w="614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B019A" w14:textId="77777777" w:rsidR="003A79AA" w:rsidRPr="00CE127C" w:rsidRDefault="003A79AA" w:rsidP="00804948">
            <w:pPr>
              <w:spacing w:after="0" w:line="240" w:lineRule="auto"/>
              <w:jc w:val="center"/>
              <w:rPr>
                <w:rFonts w:ascii="Arial" w:eastAsia="Times New Roman" w:hAnsi="Arial" w:cs="Arial"/>
                <w:sz w:val="24"/>
                <w:szCs w:val="24"/>
                <w:lang w:eastAsia="es-MX"/>
              </w:rPr>
            </w:pPr>
            <w:r w:rsidRPr="00CE127C">
              <w:rPr>
                <w:rFonts w:ascii="Arial" w:eastAsia="Times New Roman" w:hAnsi="Arial" w:cs="Arial"/>
                <w:sz w:val="24"/>
                <w:szCs w:val="24"/>
                <w:lang w:eastAsia="es-MX"/>
              </w:rPr>
              <w:t>AHUMADA, ALDAMA, ALLENDE,   AQUILES SERDÁN, ASCENSIÓN, BACHINIVA, BALLEZA,  BUENAVENTURA, CARICHI, CORONADO, COYAME DEL SOTOL, CUSIHUIRIACHI, CHINIPAS, DR. BELIZARIO DOMINGUEZ,  EL TULE, GRAN MORELOS, GUADALUPE, GUADALUPE  Y  CALVO, GUAZAPARES, GUERRERO, HUEJOTITAN, IGNACIO ZARAGOZA, JANOS, JULIMES, LA CRUZ, LÓPEZ, MADERA, MAGUARICHI, MANUEL BENAVIDES, MATACHI, MATAMOROS, MEOQUI, MORELOS, MORIS, NAMIQUIPA, NONOAVA, OCAMPO,  PRAXEDIS G. GUERRERO, RIVA PALACIO, ROSALES, ROSARIO, SAN FRANCISCO DE BORJA, SAN FRANCISCO DE CONCHOS, SAN FRANCISCO DEL ORO, SANTA BARBARA, SANTA ISABEL, SATEVO, SAUCILLO, TEMÓSACHIC, URIQUE, URUACHI Y VALLE DE ZARAGOZA.</w:t>
            </w:r>
          </w:p>
          <w:p w14:paraId="74292E9C"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p>
          <w:p w14:paraId="6AEE0351"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p>
        </w:tc>
      </w:tr>
      <w:tr w:rsidR="003A79AA" w:rsidRPr="00CF1180" w14:paraId="36CC9290" w14:textId="77777777" w:rsidTr="00AB71B5">
        <w:trPr>
          <w:trHeight w:val="324"/>
          <w:jc w:val="center"/>
        </w:trPr>
        <w:tc>
          <w:tcPr>
            <w:tcW w:w="6148" w:type="dxa"/>
            <w:gridSpan w:val="4"/>
            <w:vMerge/>
            <w:tcBorders>
              <w:top w:val="single" w:sz="4" w:space="0" w:color="auto"/>
              <w:left w:val="single" w:sz="4" w:space="0" w:color="auto"/>
              <w:bottom w:val="single" w:sz="4" w:space="0" w:color="auto"/>
              <w:right w:val="single" w:sz="4" w:space="0" w:color="auto"/>
            </w:tcBorders>
            <w:vAlign w:val="center"/>
            <w:hideMark/>
          </w:tcPr>
          <w:p w14:paraId="1503AD1B" w14:textId="77777777" w:rsidR="003A79AA" w:rsidRPr="00CF1180" w:rsidRDefault="003A79AA" w:rsidP="00804948">
            <w:pPr>
              <w:spacing w:after="0" w:line="240" w:lineRule="auto"/>
              <w:rPr>
                <w:rFonts w:ascii="Arial" w:eastAsia="Times New Roman" w:hAnsi="Arial" w:cs="Arial"/>
                <w:b/>
                <w:bCs/>
                <w:color w:val="000000"/>
                <w:sz w:val="24"/>
                <w:szCs w:val="24"/>
                <w:lang w:eastAsia="es-MX"/>
              </w:rPr>
            </w:pPr>
          </w:p>
        </w:tc>
        <w:tc>
          <w:tcPr>
            <w:tcW w:w="226" w:type="dxa"/>
            <w:tcBorders>
              <w:top w:val="nil"/>
              <w:left w:val="nil"/>
              <w:bottom w:val="nil"/>
              <w:right w:val="nil"/>
            </w:tcBorders>
            <w:shd w:val="clear" w:color="auto" w:fill="auto"/>
            <w:noWrap/>
            <w:vAlign w:val="bottom"/>
            <w:hideMark/>
          </w:tcPr>
          <w:p w14:paraId="49149CB4" w14:textId="77777777" w:rsidR="003A79AA" w:rsidRPr="00CF1180" w:rsidRDefault="003A79AA" w:rsidP="00804948">
            <w:pPr>
              <w:spacing w:after="0" w:line="240" w:lineRule="auto"/>
              <w:rPr>
                <w:rFonts w:ascii="Arial" w:eastAsia="Times New Roman" w:hAnsi="Arial" w:cs="Arial"/>
                <w:b/>
                <w:bCs/>
                <w:color w:val="000000"/>
                <w:sz w:val="24"/>
                <w:szCs w:val="24"/>
                <w:lang w:eastAsia="es-MX"/>
              </w:rPr>
            </w:pPr>
          </w:p>
        </w:tc>
      </w:tr>
      <w:tr w:rsidR="003A79AA" w:rsidRPr="00CF1180" w14:paraId="201BA412" w14:textId="77777777" w:rsidTr="00AB71B5">
        <w:trPr>
          <w:trHeight w:val="324"/>
          <w:jc w:val="center"/>
        </w:trPr>
        <w:tc>
          <w:tcPr>
            <w:tcW w:w="6148" w:type="dxa"/>
            <w:gridSpan w:val="4"/>
            <w:vMerge/>
            <w:tcBorders>
              <w:top w:val="single" w:sz="4" w:space="0" w:color="auto"/>
              <w:left w:val="single" w:sz="4" w:space="0" w:color="auto"/>
              <w:bottom w:val="single" w:sz="4" w:space="0" w:color="auto"/>
              <w:right w:val="single" w:sz="4" w:space="0" w:color="auto"/>
            </w:tcBorders>
            <w:vAlign w:val="center"/>
            <w:hideMark/>
          </w:tcPr>
          <w:p w14:paraId="611F6ABD" w14:textId="77777777" w:rsidR="003A79AA" w:rsidRPr="00CF1180" w:rsidRDefault="003A79AA" w:rsidP="00804948">
            <w:pPr>
              <w:spacing w:after="0" w:line="240" w:lineRule="auto"/>
              <w:rPr>
                <w:rFonts w:ascii="Arial" w:eastAsia="Times New Roman" w:hAnsi="Arial" w:cs="Arial"/>
                <w:b/>
                <w:bCs/>
                <w:color w:val="000000"/>
                <w:sz w:val="24"/>
                <w:szCs w:val="24"/>
                <w:lang w:eastAsia="es-MX"/>
              </w:rPr>
            </w:pPr>
          </w:p>
        </w:tc>
        <w:tc>
          <w:tcPr>
            <w:tcW w:w="226" w:type="dxa"/>
            <w:tcBorders>
              <w:top w:val="nil"/>
              <w:left w:val="nil"/>
              <w:bottom w:val="nil"/>
              <w:right w:val="nil"/>
            </w:tcBorders>
            <w:shd w:val="clear" w:color="auto" w:fill="auto"/>
            <w:noWrap/>
            <w:vAlign w:val="bottom"/>
            <w:hideMark/>
          </w:tcPr>
          <w:p w14:paraId="0D4EB8FE" w14:textId="77777777" w:rsidR="003A79AA" w:rsidRPr="00CF1180" w:rsidRDefault="003A79AA" w:rsidP="00804948">
            <w:pPr>
              <w:spacing w:after="0" w:line="240" w:lineRule="auto"/>
              <w:rPr>
                <w:rFonts w:ascii="Arial" w:eastAsia="Times New Roman" w:hAnsi="Arial" w:cs="Arial"/>
                <w:sz w:val="24"/>
                <w:szCs w:val="24"/>
                <w:lang w:eastAsia="es-MX"/>
              </w:rPr>
            </w:pPr>
          </w:p>
        </w:tc>
      </w:tr>
      <w:tr w:rsidR="003A79AA" w:rsidRPr="00CF1180" w14:paraId="55BC0CDB" w14:textId="77777777" w:rsidTr="00AB71B5">
        <w:trPr>
          <w:trHeight w:val="324"/>
          <w:jc w:val="center"/>
        </w:trPr>
        <w:tc>
          <w:tcPr>
            <w:tcW w:w="6148" w:type="dxa"/>
            <w:gridSpan w:val="4"/>
            <w:vMerge/>
            <w:tcBorders>
              <w:top w:val="single" w:sz="4" w:space="0" w:color="auto"/>
              <w:left w:val="single" w:sz="4" w:space="0" w:color="auto"/>
              <w:bottom w:val="single" w:sz="4" w:space="0" w:color="auto"/>
              <w:right w:val="single" w:sz="4" w:space="0" w:color="auto"/>
            </w:tcBorders>
            <w:vAlign w:val="center"/>
            <w:hideMark/>
          </w:tcPr>
          <w:p w14:paraId="5F71F811" w14:textId="77777777" w:rsidR="003A79AA" w:rsidRPr="00CF1180" w:rsidRDefault="003A79AA" w:rsidP="00804948">
            <w:pPr>
              <w:spacing w:after="0" w:line="240" w:lineRule="auto"/>
              <w:rPr>
                <w:rFonts w:ascii="Arial" w:eastAsia="Times New Roman" w:hAnsi="Arial" w:cs="Arial"/>
                <w:b/>
                <w:bCs/>
                <w:color w:val="000000"/>
                <w:sz w:val="24"/>
                <w:szCs w:val="24"/>
                <w:lang w:eastAsia="es-MX"/>
              </w:rPr>
            </w:pPr>
          </w:p>
        </w:tc>
        <w:tc>
          <w:tcPr>
            <w:tcW w:w="226" w:type="dxa"/>
            <w:tcBorders>
              <w:top w:val="nil"/>
              <w:left w:val="nil"/>
              <w:bottom w:val="nil"/>
              <w:right w:val="nil"/>
            </w:tcBorders>
            <w:shd w:val="clear" w:color="auto" w:fill="auto"/>
            <w:noWrap/>
            <w:vAlign w:val="bottom"/>
            <w:hideMark/>
          </w:tcPr>
          <w:p w14:paraId="3246807D" w14:textId="77777777" w:rsidR="003A79AA" w:rsidRPr="00CF1180" w:rsidRDefault="003A79AA" w:rsidP="00804948">
            <w:pPr>
              <w:spacing w:after="0" w:line="240" w:lineRule="auto"/>
              <w:rPr>
                <w:rFonts w:ascii="Arial" w:eastAsia="Times New Roman" w:hAnsi="Arial" w:cs="Arial"/>
                <w:sz w:val="24"/>
                <w:szCs w:val="24"/>
                <w:lang w:eastAsia="es-MX"/>
              </w:rPr>
            </w:pPr>
          </w:p>
        </w:tc>
      </w:tr>
      <w:tr w:rsidR="003A79AA" w:rsidRPr="00CF1180" w14:paraId="05D08F25" w14:textId="77777777" w:rsidTr="00AB71B5">
        <w:trPr>
          <w:trHeight w:val="324"/>
          <w:jc w:val="center"/>
        </w:trPr>
        <w:tc>
          <w:tcPr>
            <w:tcW w:w="6148" w:type="dxa"/>
            <w:gridSpan w:val="4"/>
            <w:vMerge/>
            <w:tcBorders>
              <w:top w:val="single" w:sz="4" w:space="0" w:color="auto"/>
              <w:left w:val="single" w:sz="4" w:space="0" w:color="auto"/>
              <w:bottom w:val="single" w:sz="4" w:space="0" w:color="auto"/>
              <w:right w:val="single" w:sz="4" w:space="0" w:color="auto"/>
            </w:tcBorders>
            <w:vAlign w:val="center"/>
            <w:hideMark/>
          </w:tcPr>
          <w:p w14:paraId="2A461868" w14:textId="77777777" w:rsidR="003A79AA" w:rsidRPr="00CF1180" w:rsidRDefault="003A79AA" w:rsidP="00804948">
            <w:pPr>
              <w:spacing w:after="0" w:line="240" w:lineRule="auto"/>
              <w:rPr>
                <w:rFonts w:ascii="Arial" w:eastAsia="Times New Roman" w:hAnsi="Arial" w:cs="Arial"/>
                <w:b/>
                <w:bCs/>
                <w:color w:val="000000"/>
                <w:sz w:val="24"/>
                <w:szCs w:val="24"/>
                <w:lang w:eastAsia="es-MX"/>
              </w:rPr>
            </w:pPr>
          </w:p>
        </w:tc>
        <w:tc>
          <w:tcPr>
            <w:tcW w:w="226" w:type="dxa"/>
            <w:tcBorders>
              <w:top w:val="nil"/>
              <w:left w:val="nil"/>
              <w:bottom w:val="nil"/>
              <w:right w:val="nil"/>
            </w:tcBorders>
            <w:shd w:val="clear" w:color="auto" w:fill="auto"/>
            <w:noWrap/>
            <w:vAlign w:val="bottom"/>
            <w:hideMark/>
          </w:tcPr>
          <w:p w14:paraId="5E23285E" w14:textId="77777777" w:rsidR="003A79AA" w:rsidRPr="00CF1180" w:rsidRDefault="003A79AA" w:rsidP="00804948">
            <w:pPr>
              <w:spacing w:after="0" w:line="240" w:lineRule="auto"/>
              <w:rPr>
                <w:rFonts w:ascii="Arial" w:eastAsia="Times New Roman" w:hAnsi="Arial" w:cs="Arial"/>
                <w:sz w:val="24"/>
                <w:szCs w:val="24"/>
                <w:lang w:eastAsia="es-MX"/>
              </w:rPr>
            </w:pPr>
          </w:p>
        </w:tc>
      </w:tr>
      <w:tr w:rsidR="003A79AA" w:rsidRPr="00CF1180" w14:paraId="0DA10A33" w14:textId="77777777" w:rsidTr="00AB71B5">
        <w:trPr>
          <w:trHeight w:val="324"/>
          <w:jc w:val="center"/>
        </w:trPr>
        <w:tc>
          <w:tcPr>
            <w:tcW w:w="6148" w:type="dxa"/>
            <w:gridSpan w:val="4"/>
            <w:vMerge/>
            <w:tcBorders>
              <w:top w:val="single" w:sz="4" w:space="0" w:color="auto"/>
              <w:left w:val="single" w:sz="4" w:space="0" w:color="auto"/>
              <w:bottom w:val="single" w:sz="4" w:space="0" w:color="auto"/>
              <w:right w:val="single" w:sz="4" w:space="0" w:color="auto"/>
            </w:tcBorders>
            <w:vAlign w:val="center"/>
            <w:hideMark/>
          </w:tcPr>
          <w:p w14:paraId="2D102E9F" w14:textId="77777777" w:rsidR="003A79AA" w:rsidRPr="00CF1180" w:rsidRDefault="003A79AA" w:rsidP="00804948">
            <w:pPr>
              <w:spacing w:after="0" w:line="240" w:lineRule="auto"/>
              <w:rPr>
                <w:rFonts w:ascii="Arial" w:eastAsia="Times New Roman" w:hAnsi="Arial" w:cs="Arial"/>
                <w:b/>
                <w:bCs/>
                <w:color w:val="000000"/>
                <w:sz w:val="24"/>
                <w:szCs w:val="24"/>
                <w:lang w:eastAsia="es-MX"/>
              </w:rPr>
            </w:pPr>
          </w:p>
        </w:tc>
        <w:tc>
          <w:tcPr>
            <w:tcW w:w="226" w:type="dxa"/>
            <w:tcBorders>
              <w:top w:val="nil"/>
              <w:left w:val="nil"/>
              <w:bottom w:val="nil"/>
              <w:right w:val="nil"/>
            </w:tcBorders>
            <w:shd w:val="clear" w:color="auto" w:fill="auto"/>
            <w:noWrap/>
            <w:vAlign w:val="bottom"/>
            <w:hideMark/>
          </w:tcPr>
          <w:p w14:paraId="60D95BBB" w14:textId="77777777" w:rsidR="003A79AA" w:rsidRPr="00CF1180" w:rsidRDefault="003A79AA" w:rsidP="00804948">
            <w:pPr>
              <w:spacing w:after="0" w:line="240" w:lineRule="auto"/>
              <w:rPr>
                <w:rFonts w:ascii="Arial" w:eastAsia="Times New Roman" w:hAnsi="Arial" w:cs="Arial"/>
                <w:sz w:val="24"/>
                <w:szCs w:val="24"/>
                <w:lang w:eastAsia="es-MX"/>
              </w:rPr>
            </w:pPr>
          </w:p>
        </w:tc>
      </w:tr>
      <w:tr w:rsidR="003A79AA" w:rsidRPr="00CF1180" w14:paraId="21293FC2" w14:textId="77777777" w:rsidTr="00AB71B5">
        <w:trPr>
          <w:trHeight w:val="324"/>
          <w:jc w:val="center"/>
        </w:trPr>
        <w:tc>
          <w:tcPr>
            <w:tcW w:w="6148" w:type="dxa"/>
            <w:gridSpan w:val="4"/>
            <w:vMerge/>
            <w:tcBorders>
              <w:top w:val="single" w:sz="4" w:space="0" w:color="auto"/>
              <w:left w:val="single" w:sz="4" w:space="0" w:color="auto"/>
              <w:bottom w:val="single" w:sz="4" w:space="0" w:color="auto"/>
              <w:right w:val="single" w:sz="4" w:space="0" w:color="auto"/>
            </w:tcBorders>
            <w:vAlign w:val="center"/>
            <w:hideMark/>
          </w:tcPr>
          <w:p w14:paraId="76110444" w14:textId="77777777" w:rsidR="003A79AA" w:rsidRPr="00CF1180" w:rsidRDefault="003A79AA" w:rsidP="00804948">
            <w:pPr>
              <w:spacing w:after="0" w:line="240" w:lineRule="auto"/>
              <w:rPr>
                <w:rFonts w:ascii="Arial" w:eastAsia="Times New Roman" w:hAnsi="Arial" w:cs="Arial"/>
                <w:b/>
                <w:bCs/>
                <w:color w:val="000000"/>
                <w:sz w:val="24"/>
                <w:szCs w:val="24"/>
                <w:lang w:eastAsia="es-MX"/>
              </w:rPr>
            </w:pPr>
          </w:p>
        </w:tc>
        <w:tc>
          <w:tcPr>
            <w:tcW w:w="226" w:type="dxa"/>
            <w:tcBorders>
              <w:top w:val="nil"/>
              <w:left w:val="nil"/>
              <w:bottom w:val="nil"/>
              <w:right w:val="nil"/>
            </w:tcBorders>
            <w:shd w:val="clear" w:color="auto" w:fill="auto"/>
            <w:noWrap/>
            <w:vAlign w:val="bottom"/>
            <w:hideMark/>
          </w:tcPr>
          <w:p w14:paraId="05DD9852" w14:textId="77777777" w:rsidR="003A79AA" w:rsidRPr="00CF1180" w:rsidRDefault="003A79AA" w:rsidP="00804948">
            <w:pPr>
              <w:spacing w:after="0" w:line="240" w:lineRule="auto"/>
              <w:rPr>
                <w:rFonts w:ascii="Arial" w:eastAsia="Times New Roman" w:hAnsi="Arial" w:cs="Arial"/>
                <w:sz w:val="24"/>
                <w:szCs w:val="24"/>
                <w:lang w:eastAsia="es-MX"/>
              </w:rPr>
            </w:pPr>
          </w:p>
        </w:tc>
      </w:tr>
      <w:tr w:rsidR="003A79AA" w:rsidRPr="00CF1180" w14:paraId="12604252" w14:textId="77777777" w:rsidTr="00AB71B5">
        <w:trPr>
          <w:trHeight w:val="324"/>
          <w:jc w:val="center"/>
        </w:trPr>
        <w:tc>
          <w:tcPr>
            <w:tcW w:w="6148" w:type="dxa"/>
            <w:gridSpan w:val="4"/>
            <w:vMerge/>
            <w:tcBorders>
              <w:top w:val="single" w:sz="4" w:space="0" w:color="auto"/>
              <w:left w:val="single" w:sz="4" w:space="0" w:color="auto"/>
              <w:bottom w:val="single" w:sz="4" w:space="0" w:color="auto"/>
              <w:right w:val="single" w:sz="4" w:space="0" w:color="auto"/>
            </w:tcBorders>
            <w:vAlign w:val="center"/>
            <w:hideMark/>
          </w:tcPr>
          <w:p w14:paraId="467FB145" w14:textId="77777777" w:rsidR="003A79AA" w:rsidRPr="00CF1180" w:rsidRDefault="003A79AA" w:rsidP="00804948">
            <w:pPr>
              <w:spacing w:after="0" w:line="240" w:lineRule="auto"/>
              <w:rPr>
                <w:rFonts w:ascii="Arial" w:eastAsia="Times New Roman" w:hAnsi="Arial" w:cs="Arial"/>
                <w:b/>
                <w:bCs/>
                <w:color w:val="000000"/>
                <w:sz w:val="24"/>
                <w:szCs w:val="24"/>
                <w:lang w:eastAsia="es-MX"/>
              </w:rPr>
            </w:pPr>
          </w:p>
        </w:tc>
        <w:tc>
          <w:tcPr>
            <w:tcW w:w="226" w:type="dxa"/>
            <w:tcBorders>
              <w:top w:val="nil"/>
              <w:left w:val="nil"/>
              <w:bottom w:val="nil"/>
              <w:right w:val="nil"/>
            </w:tcBorders>
            <w:shd w:val="clear" w:color="auto" w:fill="auto"/>
            <w:noWrap/>
            <w:vAlign w:val="bottom"/>
            <w:hideMark/>
          </w:tcPr>
          <w:p w14:paraId="2BC07BF5" w14:textId="77777777" w:rsidR="003A79AA" w:rsidRPr="00CF1180" w:rsidRDefault="003A79AA" w:rsidP="00804948">
            <w:pPr>
              <w:spacing w:after="0" w:line="240" w:lineRule="auto"/>
              <w:rPr>
                <w:rFonts w:ascii="Arial" w:eastAsia="Times New Roman" w:hAnsi="Arial" w:cs="Arial"/>
                <w:sz w:val="24"/>
                <w:szCs w:val="24"/>
                <w:lang w:eastAsia="es-MX"/>
              </w:rPr>
            </w:pPr>
          </w:p>
        </w:tc>
      </w:tr>
      <w:tr w:rsidR="003A79AA" w:rsidRPr="00CF1180" w14:paraId="0FCD9183" w14:textId="77777777" w:rsidTr="00AB71B5">
        <w:trPr>
          <w:trHeight w:val="324"/>
          <w:jc w:val="center"/>
        </w:trPr>
        <w:tc>
          <w:tcPr>
            <w:tcW w:w="6148" w:type="dxa"/>
            <w:gridSpan w:val="4"/>
            <w:vMerge/>
            <w:tcBorders>
              <w:top w:val="single" w:sz="4" w:space="0" w:color="auto"/>
              <w:left w:val="single" w:sz="4" w:space="0" w:color="auto"/>
              <w:bottom w:val="single" w:sz="4" w:space="0" w:color="auto"/>
              <w:right w:val="single" w:sz="4" w:space="0" w:color="auto"/>
            </w:tcBorders>
            <w:vAlign w:val="center"/>
            <w:hideMark/>
          </w:tcPr>
          <w:p w14:paraId="11DCEEE0" w14:textId="77777777" w:rsidR="003A79AA" w:rsidRPr="00CF1180" w:rsidRDefault="003A79AA" w:rsidP="00804948">
            <w:pPr>
              <w:spacing w:after="0" w:line="240" w:lineRule="auto"/>
              <w:rPr>
                <w:rFonts w:ascii="Arial" w:eastAsia="Times New Roman" w:hAnsi="Arial" w:cs="Arial"/>
                <w:b/>
                <w:bCs/>
                <w:color w:val="000000"/>
                <w:sz w:val="24"/>
                <w:szCs w:val="24"/>
                <w:lang w:eastAsia="es-MX"/>
              </w:rPr>
            </w:pPr>
          </w:p>
        </w:tc>
        <w:tc>
          <w:tcPr>
            <w:tcW w:w="226" w:type="dxa"/>
            <w:tcBorders>
              <w:top w:val="nil"/>
              <w:left w:val="nil"/>
              <w:bottom w:val="nil"/>
              <w:right w:val="nil"/>
            </w:tcBorders>
            <w:shd w:val="clear" w:color="auto" w:fill="auto"/>
            <w:noWrap/>
            <w:vAlign w:val="bottom"/>
            <w:hideMark/>
          </w:tcPr>
          <w:p w14:paraId="63C4CBDC" w14:textId="77777777" w:rsidR="003A79AA" w:rsidRPr="00CF1180" w:rsidRDefault="003A79AA" w:rsidP="00804948">
            <w:pPr>
              <w:spacing w:after="0" w:line="240" w:lineRule="auto"/>
              <w:rPr>
                <w:rFonts w:ascii="Arial" w:eastAsia="Times New Roman" w:hAnsi="Arial" w:cs="Arial"/>
                <w:sz w:val="24"/>
                <w:szCs w:val="24"/>
                <w:lang w:eastAsia="es-MX"/>
              </w:rPr>
            </w:pPr>
          </w:p>
        </w:tc>
      </w:tr>
      <w:tr w:rsidR="003A79AA" w:rsidRPr="00CF1180" w14:paraId="53FD896F" w14:textId="77777777" w:rsidTr="00AB71B5">
        <w:trPr>
          <w:trHeight w:val="324"/>
          <w:jc w:val="center"/>
        </w:trPr>
        <w:tc>
          <w:tcPr>
            <w:tcW w:w="6148" w:type="dxa"/>
            <w:gridSpan w:val="4"/>
            <w:vMerge/>
            <w:tcBorders>
              <w:top w:val="single" w:sz="4" w:space="0" w:color="auto"/>
              <w:left w:val="single" w:sz="4" w:space="0" w:color="auto"/>
              <w:bottom w:val="single" w:sz="4" w:space="0" w:color="auto"/>
              <w:right w:val="single" w:sz="4" w:space="0" w:color="auto"/>
            </w:tcBorders>
            <w:vAlign w:val="center"/>
            <w:hideMark/>
          </w:tcPr>
          <w:p w14:paraId="5C541938" w14:textId="77777777" w:rsidR="003A79AA" w:rsidRPr="00CF1180" w:rsidRDefault="003A79AA" w:rsidP="00804948">
            <w:pPr>
              <w:spacing w:after="0" w:line="240" w:lineRule="auto"/>
              <w:rPr>
                <w:rFonts w:ascii="Arial" w:eastAsia="Times New Roman" w:hAnsi="Arial" w:cs="Arial"/>
                <w:b/>
                <w:bCs/>
                <w:color w:val="000000"/>
                <w:sz w:val="24"/>
                <w:szCs w:val="24"/>
                <w:lang w:eastAsia="es-MX"/>
              </w:rPr>
            </w:pPr>
          </w:p>
        </w:tc>
        <w:tc>
          <w:tcPr>
            <w:tcW w:w="226" w:type="dxa"/>
            <w:tcBorders>
              <w:top w:val="nil"/>
              <w:left w:val="nil"/>
              <w:bottom w:val="nil"/>
              <w:right w:val="nil"/>
            </w:tcBorders>
            <w:shd w:val="clear" w:color="auto" w:fill="auto"/>
            <w:noWrap/>
            <w:vAlign w:val="bottom"/>
            <w:hideMark/>
          </w:tcPr>
          <w:p w14:paraId="21584FE3" w14:textId="77777777" w:rsidR="003A79AA" w:rsidRPr="00CF1180" w:rsidRDefault="003A79AA" w:rsidP="00804948">
            <w:pPr>
              <w:spacing w:after="0" w:line="240" w:lineRule="auto"/>
              <w:rPr>
                <w:rFonts w:ascii="Arial" w:eastAsia="Times New Roman" w:hAnsi="Arial" w:cs="Arial"/>
                <w:sz w:val="24"/>
                <w:szCs w:val="24"/>
                <w:lang w:eastAsia="es-MX"/>
              </w:rPr>
            </w:pPr>
          </w:p>
        </w:tc>
      </w:tr>
      <w:tr w:rsidR="003A79AA" w:rsidRPr="00CF1180" w14:paraId="24A31CD6" w14:textId="77777777" w:rsidTr="00AB71B5">
        <w:trPr>
          <w:trHeight w:val="324"/>
          <w:jc w:val="center"/>
        </w:trPr>
        <w:tc>
          <w:tcPr>
            <w:tcW w:w="6148" w:type="dxa"/>
            <w:gridSpan w:val="4"/>
            <w:vMerge/>
            <w:tcBorders>
              <w:top w:val="single" w:sz="4" w:space="0" w:color="auto"/>
              <w:left w:val="single" w:sz="4" w:space="0" w:color="auto"/>
              <w:bottom w:val="single" w:sz="4" w:space="0" w:color="auto"/>
              <w:right w:val="single" w:sz="4" w:space="0" w:color="auto"/>
            </w:tcBorders>
            <w:vAlign w:val="center"/>
            <w:hideMark/>
          </w:tcPr>
          <w:p w14:paraId="408E5C96" w14:textId="77777777" w:rsidR="003A79AA" w:rsidRPr="00CF1180" w:rsidRDefault="003A79AA" w:rsidP="00804948">
            <w:pPr>
              <w:spacing w:after="0" w:line="240" w:lineRule="auto"/>
              <w:rPr>
                <w:rFonts w:ascii="Arial" w:eastAsia="Times New Roman" w:hAnsi="Arial" w:cs="Arial"/>
                <w:b/>
                <w:bCs/>
                <w:color w:val="000000"/>
                <w:sz w:val="24"/>
                <w:szCs w:val="24"/>
                <w:lang w:eastAsia="es-MX"/>
              </w:rPr>
            </w:pPr>
          </w:p>
        </w:tc>
        <w:tc>
          <w:tcPr>
            <w:tcW w:w="226" w:type="dxa"/>
            <w:tcBorders>
              <w:top w:val="nil"/>
              <w:left w:val="nil"/>
              <w:bottom w:val="nil"/>
              <w:right w:val="nil"/>
            </w:tcBorders>
            <w:shd w:val="clear" w:color="auto" w:fill="auto"/>
            <w:noWrap/>
            <w:vAlign w:val="bottom"/>
            <w:hideMark/>
          </w:tcPr>
          <w:p w14:paraId="3082CA99" w14:textId="77777777" w:rsidR="003A79AA" w:rsidRPr="00CF1180" w:rsidRDefault="003A79AA" w:rsidP="00804948">
            <w:pPr>
              <w:spacing w:after="0" w:line="240" w:lineRule="auto"/>
              <w:rPr>
                <w:rFonts w:ascii="Arial" w:eastAsia="Times New Roman" w:hAnsi="Arial" w:cs="Arial"/>
                <w:sz w:val="24"/>
                <w:szCs w:val="24"/>
                <w:lang w:eastAsia="es-MX"/>
              </w:rPr>
            </w:pPr>
          </w:p>
        </w:tc>
      </w:tr>
    </w:tbl>
    <w:p w14:paraId="0FA8C8A6" w14:textId="5E57296A" w:rsidR="003A79AA" w:rsidRDefault="003A79AA" w:rsidP="003A79AA">
      <w:pPr>
        <w:rPr>
          <w:rFonts w:ascii="Arial" w:eastAsia="Times New Roman" w:hAnsi="Arial" w:cs="Arial"/>
          <w:sz w:val="24"/>
          <w:szCs w:val="24"/>
          <w:lang w:eastAsia="es-MX"/>
        </w:rPr>
      </w:pPr>
    </w:p>
    <w:p w14:paraId="50DC9E80" w14:textId="3AB969EB" w:rsidR="00AB71B5" w:rsidRDefault="00AB71B5" w:rsidP="003A79AA">
      <w:pPr>
        <w:rPr>
          <w:rFonts w:ascii="Arial" w:eastAsia="Times New Roman" w:hAnsi="Arial" w:cs="Arial"/>
          <w:sz w:val="24"/>
          <w:szCs w:val="24"/>
          <w:lang w:eastAsia="es-MX"/>
        </w:rPr>
      </w:pPr>
    </w:p>
    <w:p w14:paraId="762138E8" w14:textId="77777777" w:rsidR="00AB71B5" w:rsidRPr="00CF1180" w:rsidRDefault="00AB71B5" w:rsidP="003A79AA">
      <w:pPr>
        <w:rPr>
          <w:rFonts w:ascii="Arial" w:eastAsia="Times New Roman" w:hAnsi="Arial" w:cs="Arial"/>
          <w:sz w:val="24"/>
          <w:szCs w:val="24"/>
          <w:lang w:eastAsia="es-MX"/>
        </w:rPr>
      </w:pPr>
    </w:p>
    <w:p w14:paraId="59263DE1" w14:textId="77777777" w:rsidR="003A79AA" w:rsidRPr="00CF1180" w:rsidRDefault="003A79AA" w:rsidP="003A79AA">
      <w:pPr>
        <w:rPr>
          <w:rFonts w:ascii="Arial" w:eastAsia="Times New Roman" w:hAnsi="Arial" w:cs="Arial"/>
          <w:sz w:val="24"/>
          <w:szCs w:val="24"/>
          <w:lang w:eastAsia="es-MX"/>
        </w:rPr>
      </w:pPr>
    </w:p>
    <w:tbl>
      <w:tblPr>
        <w:tblpPr w:leftFromText="141" w:rightFromText="141" w:vertAnchor="text" w:horzAnchor="page" w:tblpXSpec="center" w:tblpY="326"/>
        <w:tblW w:w="4053" w:type="dxa"/>
        <w:tblCellMar>
          <w:left w:w="70" w:type="dxa"/>
          <w:right w:w="70" w:type="dxa"/>
        </w:tblCellMar>
        <w:tblLook w:val="04A0" w:firstRow="1" w:lastRow="0" w:firstColumn="1" w:lastColumn="0" w:noHBand="0" w:noVBand="1"/>
      </w:tblPr>
      <w:tblGrid>
        <w:gridCol w:w="1741"/>
        <w:gridCol w:w="1054"/>
        <w:gridCol w:w="1469"/>
        <w:gridCol w:w="1469"/>
      </w:tblGrid>
      <w:tr w:rsidR="003A79AA" w:rsidRPr="00CF1180" w14:paraId="20E7B9D9" w14:textId="77777777" w:rsidTr="00804948">
        <w:trPr>
          <w:trHeight w:val="305"/>
        </w:trPr>
        <w:tc>
          <w:tcPr>
            <w:tcW w:w="4053" w:type="dxa"/>
            <w:gridSpan w:val="4"/>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2B20B5B5"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lastRenderedPageBreak/>
              <w:t>ZONA V</w:t>
            </w:r>
          </w:p>
        </w:tc>
      </w:tr>
      <w:tr w:rsidR="003A79AA" w:rsidRPr="00CF1180" w14:paraId="4B8B7A03" w14:textId="77777777" w:rsidTr="00804948">
        <w:trPr>
          <w:trHeight w:val="643"/>
        </w:trPr>
        <w:tc>
          <w:tcPr>
            <w:tcW w:w="1209" w:type="dxa"/>
            <w:tcBorders>
              <w:top w:val="nil"/>
              <w:left w:val="single" w:sz="4" w:space="0" w:color="auto"/>
              <w:bottom w:val="single" w:sz="4" w:space="0" w:color="auto"/>
              <w:right w:val="single" w:sz="4" w:space="0" w:color="auto"/>
            </w:tcBorders>
            <w:shd w:val="clear" w:color="000000" w:fill="ACB9CA"/>
            <w:noWrap/>
            <w:vAlign w:val="bottom"/>
            <w:hideMark/>
          </w:tcPr>
          <w:p w14:paraId="74D16C2E"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JERÁRQUICO</w:t>
            </w:r>
          </w:p>
          <w:p w14:paraId="21302350"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p>
        </w:tc>
        <w:tc>
          <w:tcPr>
            <w:tcW w:w="774" w:type="dxa"/>
            <w:tcBorders>
              <w:top w:val="nil"/>
              <w:left w:val="nil"/>
              <w:bottom w:val="single" w:sz="4" w:space="0" w:color="auto"/>
              <w:right w:val="single" w:sz="4" w:space="0" w:color="auto"/>
            </w:tcBorders>
            <w:shd w:val="clear" w:color="000000" w:fill="ACB9CA"/>
            <w:vAlign w:val="bottom"/>
            <w:hideMark/>
          </w:tcPr>
          <w:p w14:paraId="4EC77E9E"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 xml:space="preserve">TARIFA &lt;12HRS </w:t>
            </w:r>
          </w:p>
          <w:p w14:paraId="565142F9"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p>
        </w:tc>
        <w:tc>
          <w:tcPr>
            <w:tcW w:w="1035" w:type="dxa"/>
            <w:tcBorders>
              <w:top w:val="nil"/>
              <w:left w:val="nil"/>
              <w:bottom w:val="single" w:sz="4" w:space="0" w:color="auto"/>
              <w:right w:val="single" w:sz="4" w:space="0" w:color="auto"/>
            </w:tcBorders>
            <w:shd w:val="clear" w:color="000000" w:fill="ACB9CA"/>
            <w:vAlign w:val="bottom"/>
            <w:hideMark/>
          </w:tcPr>
          <w:p w14:paraId="0683208E"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TARIFA SIN PERNOCTA</w:t>
            </w:r>
          </w:p>
        </w:tc>
        <w:tc>
          <w:tcPr>
            <w:tcW w:w="1035" w:type="dxa"/>
            <w:tcBorders>
              <w:top w:val="nil"/>
              <w:left w:val="nil"/>
              <w:bottom w:val="single" w:sz="4" w:space="0" w:color="auto"/>
              <w:right w:val="single" w:sz="4" w:space="0" w:color="auto"/>
            </w:tcBorders>
            <w:shd w:val="clear" w:color="000000" w:fill="ACB9CA"/>
            <w:vAlign w:val="bottom"/>
            <w:hideMark/>
          </w:tcPr>
          <w:p w14:paraId="6F848FBF"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TARIFA CON PERNOCTA</w:t>
            </w:r>
          </w:p>
        </w:tc>
      </w:tr>
      <w:tr w:rsidR="003A79AA" w:rsidRPr="00CF1180" w14:paraId="0A76ACDC" w14:textId="77777777" w:rsidTr="00804948">
        <w:trPr>
          <w:trHeight w:val="305"/>
        </w:trPr>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40D4A705"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w:t>
            </w:r>
          </w:p>
        </w:tc>
        <w:tc>
          <w:tcPr>
            <w:tcW w:w="774" w:type="dxa"/>
            <w:tcBorders>
              <w:top w:val="nil"/>
              <w:left w:val="nil"/>
              <w:bottom w:val="single" w:sz="4" w:space="0" w:color="auto"/>
              <w:right w:val="single" w:sz="4" w:space="0" w:color="auto"/>
            </w:tcBorders>
            <w:shd w:val="clear" w:color="auto" w:fill="auto"/>
            <w:noWrap/>
            <w:vAlign w:val="bottom"/>
            <w:hideMark/>
          </w:tcPr>
          <w:p w14:paraId="3918542B"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6</w:t>
            </w:r>
          </w:p>
        </w:tc>
        <w:tc>
          <w:tcPr>
            <w:tcW w:w="1035" w:type="dxa"/>
            <w:tcBorders>
              <w:top w:val="nil"/>
              <w:left w:val="nil"/>
              <w:bottom w:val="single" w:sz="4" w:space="0" w:color="auto"/>
              <w:right w:val="single" w:sz="4" w:space="0" w:color="auto"/>
            </w:tcBorders>
            <w:shd w:val="clear" w:color="auto" w:fill="auto"/>
            <w:noWrap/>
            <w:vAlign w:val="bottom"/>
            <w:hideMark/>
          </w:tcPr>
          <w:p w14:paraId="7561B7EE"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19</w:t>
            </w:r>
          </w:p>
        </w:tc>
        <w:tc>
          <w:tcPr>
            <w:tcW w:w="1035" w:type="dxa"/>
            <w:tcBorders>
              <w:top w:val="nil"/>
              <w:left w:val="nil"/>
              <w:bottom w:val="single" w:sz="4" w:space="0" w:color="auto"/>
              <w:right w:val="single" w:sz="4" w:space="0" w:color="auto"/>
            </w:tcBorders>
            <w:shd w:val="clear" w:color="auto" w:fill="auto"/>
            <w:noWrap/>
            <w:vAlign w:val="bottom"/>
            <w:hideMark/>
          </w:tcPr>
          <w:p w14:paraId="40DA1C26"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24</w:t>
            </w:r>
          </w:p>
        </w:tc>
      </w:tr>
      <w:tr w:rsidR="003A79AA" w:rsidRPr="00CF1180" w14:paraId="39C1823B" w14:textId="77777777" w:rsidTr="00804948">
        <w:trPr>
          <w:trHeight w:val="305"/>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193D"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II</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681EFE2B"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08099CA1"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17</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73CA7A44"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22</w:t>
            </w:r>
          </w:p>
        </w:tc>
      </w:tr>
      <w:tr w:rsidR="003A79AA" w:rsidRPr="00CF1180" w14:paraId="54FDDA5D" w14:textId="77777777" w:rsidTr="00804948">
        <w:trPr>
          <w:trHeight w:val="305"/>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DF144"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III Y IV</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5F0DA3C1"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4</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29500C17"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15</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7EEC942F"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19</w:t>
            </w:r>
          </w:p>
        </w:tc>
      </w:tr>
      <w:tr w:rsidR="003A79AA" w:rsidRPr="00CF1180" w14:paraId="3CD4CE4F" w14:textId="77777777" w:rsidTr="00804948">
        <w:trPr>
          <w:trHeight w:val="620"/>
        </w:trPr>
        <w:tc>
          <w:tcPr>
            <w:tcW w:w="4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F1567" w14:textId="77777777" w:rsidR="003A79AA" w:rsidRPr="00CE127C" w:rsidRDefault="003A79AA" w:rsidP="00804948">
            <w:pPr>
              <w:spacing w:after="0" w:line="240" w:lineRule="auto"/>
              <w:jc w:val="center"/>
              <w:rPr>
                <w:rFonts w:ascii="Arial" w:eastAsia="Times New Roman" w:hAnsi="Arial" w:cs="Arial"/>
                <w:color w:val="000000"/>
                <w:sz w:val="24"/>
                <w:szCs w:val="24"/>
                <w:lang w:eastAsia="es-MX"/>
              </w:rPr>
            </w:pPr>
            <w:r w:rsidRPr="00CE127C">
              <w:rPr>
                <w:rFonts w:ascii="Arial" w:eastAsia="Times New Roman" w:hAnsi="Arial" w:cs="Arial"/>
                <w:sz w:val="24"/>
                <w:szCs w:val="24"/>
                <w:lang w:eastAsia="es-MX"/>
              </w:rPr>
              <w:t>BOCOYNA Y BATOPILAS</w:t>
            </w:r>
          </w:p>
        </w:tc>
      </w:tr>
    </w:tbl>
    <w:p w14:paraId="4AFB87E3" w14:textId="77777777" w:rsidR="003A79AA" w:rsidRPr="00CF1180" w:rsidRDefault="003A79AA" w:rsidP="003A79AA">
      <w:pPr>
        <w:rPr>
          <w:rFonts w:ascii="Arial" w:eastAsia="Times New Roman" w:hAnsi="Arial" w:cs="Arial"/>
          <w:sz w:val="24"/>
          <w:szCs w:val="24"/>
          <w:lang w:eastAsia="es-MX"/>
        </w:rPr>
      </w:pPr>
    </w:p>
    <w:p w14:paraId="2E98EB7A" w14:textId="77777777" w:rsidR="003A79AA" w:rsidRPr="00CF1180" w:rsidRDefault="003A79AA" w:rsidP="003A79AA">
      <w:pPr>
        <w:rPr>
          <w:rFonts w:ascii="Arial" w:eastAsia="Times New Roman" w:hAnsi="Arial" w:cs="Arial"/>
          <w:sz w:val="24"/>
          <w:szCs w:val="24"/>
          <w:lang w:eastAsia="es-MX"/>
        </w:rPr>
      </w:pPr>
    </w:p>
    <w:p w14:paraId="3B8E8342" w14:textId="77777777" w:rsidR="003A79AA" w:rsidRPr="00CF1180" w:rsidRDefault="003A79AA" w:rsidP="003A79AA">
      <w:pPr>
        <w:rPr>
          <w:rFonts w:ascii="Arial" w:eastAsia="Times New Roman" w:hAnsi="Arial" w:cs="Arial"/>
          <w:sz w:val="24"/>
          <w:szCs w:val="24"/>
          <w:lang w:eastAsia="es-MX"/>
        </w:rPr>
      </w:pPr>
    </w:p>
    <w:p w14:paraId="654E4FF1" w14:textId="77777777" w:rsidR="003A79AA" w:rsidRPr="00CF1180" w:rsidRDefault="003A79AA" w:rsidP="003A79AA">
      <w:pPr>
        <w:jc w:val="center"/>
        <w:rPr>
          <w:rFonts w:ascii="Arial" w:hAnsi="Arial" w:cs="Arial"/>
          <w:b/>
          <w:bCs/>
          <w:sz w:val="24"/>
          <w:szCs w:val="24"/>
        </w:rPr>
      </w:pPr>
    </w:p>
    <w:p w14:paraId="085DD002" w14:textId="77777777" w:rsidR="003A79AA" w:rsidRPr="00CF1180" w:rsidRDefault="003A79AA" w:rsidP="003A79AA">
      <w:pPr>
        <w:jc w:val="center"/>
        <w:rPr>
          <w:rFonts w:ascii="Arial" w:hAnsi="Arial" w:cs="Arial"/>
          <w:b/>
          <w:bCs/>
          <w:sz w:val="24"/>
          <w:szCs w:val="24"/>
        </w:rPr>
      </w:pPr>
    </w:p>
    <w:p w14:paraId="12018F15" w14:textId="77777777" w:rsidR="003A79AA" w:rsidRPr="00CF1180" w:rsidRDefault="003A79AA" w:rsidP="003A79AA">
      <w:pPr>
        <w:jc w:val="center"/>
        <w:rPr>
          <w:rFonts w:ascii="Arial" w:hAnsi="Arial" w:cs="Arial"/>
          <w:b/>
          <w:bCs/>
          <w:sz w:val="24"/>
          <w:szCs w:val="24"/>
        </w:rPr>
      </w:pPr>
    </w:p>
    <w:p w14:paraId="57F13202" w14:textId="77777777" w:rsidR="003A79AA" w:rsidRPr="00CF1180" w:rsidRDefault="003A79AA" w:rsidP="003A79AA">
      <w:pPr>
        <w:rPr>
          <w:rFonts w:ascii="Arial" w:hAnsi="Arial" w:cs="Arial"/>
          <w:b/>
          <w:sz w:val="24"/>
          <w:szCs w:val="24"/>
        </w:rPr>
      </w:pPr>
    </w:p>
    <w:p w14:paraId="5B18641F" w14:textId="77777777" w:rsidR="003A79AA" w:rsidRPr="00CF1180" w:rsidRDefault="003A79AA" w:rsidP="003A79AA">
      <w:pPr>
        <w:jc w:val="center"/>
        <w:rPr>
          <w:rFonts w:ascii="Arial" w:hAnsi="Arial" w:cs="Arial"/>
          <w:b/>
          <w:bCs/>
          <w:sz w:val="24"/>
          <w:szCs w:val="24"/>
        </w:rPr>
      </w:pPr>
    </w:p>
    <w:p w14:paraId="51C5DA98" w14:textId="77777777" w:rsidR="003A79AA" w:rsidRPr="00CF1180" w:rsidRDefault="003A79AA" w:rsidP="003A79AA">
      <w:pPr>
        <w:jc w:val="center"/>
        <w:rPr>
          <w:rFonts w:ascii="Arial" w:hAnsi="Arial" w:cs="Arial"/>
          <w:b/>
          <w:bCs/>
          <w:sz w:val="24"/>
          <w:szCs w:val="24"/>
        </w:rPr>
      </w:pPr>
      <w:r w:rsidRPr="00CF1180">
        <w:rPr>
          <w:rFonts w:ascii="Arial" w:hAnsi="Arial" w:cs="Arial"/>
          <w:b/>
          <w:bCs/>
          <w:sz w:val="24"/>
          <w:szCs w:val="24"/>
        </w:rPr>
        <w:t>TARIFAS DE VIÁTICOS NACIONALES POR GRUPOS</w:t>
      </w:r>
    </w:p>
    <w:p w14:paraId="2E5FD130" w14:textId="77777777" w:rsidR="003A79AA" w:rsidRPr="00CF1180" w:rsidRDefault="003A79AA" w:rsidP="003A79AA">
      <w:pPr>
        <w:jc w:val="center"/>
        <w:rPr>
          <w:rFonts w:ascii="Arial" w:hAnsi="Arial" w:cs="Arial"/>
          <w:b/>
          <w:bCs/>
          <w:sz w:val="24"/>
          <w:szCs w:val="24"/>
        </w:rPr>
      </w:pPr>
      <w:r w:rsidRPr="00CF1180">
        <w:rPr>
          <w:rFonts w:ascii="Arial" w:hAnsi="Arial" w:cs="Arial"/>
          <w:b/>
          <w:bCs/>
          <w:sz w:val="24"/>
          <w:szCs w:val="24"/>
        </w:rPr>
        <w:t>JERÁRQUICOS Y ZONIFICACIÓN</w:t>
      </w:r>
    </w:p>
    <w:tbl>
      <w:tblPr>
        <w:tblW w:w="5733" w:type="dxa"/>
        <w:jc w:val="center"/>
        <w:tblCellMar>
          <w:left w:w="70" w:type="dxa"/>
          <w:right w:w="70" w:type="dxa"/>
        </w:tblCellMar>
        <w:tblLook w:val="04A0" w:firstRow="1" w:lastRow="0" w:firstColumn="1" w:lastColumn="0" w:noHBand="0" w:noVBand="1"/>
      </w:tblPr>
      <w:tblGrid>
        <w:gridCol w:w="1741"/>
        <w:gridCol w:w="1054"/>
        <w:gridCol w:w="1469"/>
        <w:gridCol w:w="1469"/>
      </w:tblGrid>
      <w:tr w:rsidR="003A79AA" w:rsidRPr="00CF1180" w14:paraId="36259ECB" w14:textId="77777777" w:rsidTr="00AB71B5">
        <w:trPr>
          <w:trHeight w:val="317"/>
          <w:jc w:val="center"/>
        </w:trPr>
        <w:tc>
          <w:tcPr>
            <w:tcW w:w="5733" w:type="dxa"/>
            <w:gridSpan w:val="4"/>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71D93DD2"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REPUBLICA MÁS ECONÓMICOS</w:t>
            </w:r>
          </w:p>
        </w:tc>
      </w:tr>
      <w:tr w:rsidR="003A79AA" w:rsidRPr="00CF1180" w14:paraId="20BF23E2" w14:textId="77777777" w:rsidTr="00AB71B5">
        <w:trPr>
          <w:trHeight w:val="668"/>
          <w:jc w:val="center"/>
        </w:trPr>
        <w:tc>
          <w:tcPr>
            <w:tcW w:w="1741" w:type="dxa"/>
            <w:tcBorders>
              <w:top w:val="nil"/>
              <w:left w:val="single" w:sz="4" w:space="0" w:color="auto"/>
              <w:bottom w:val="single" w:sz="4" w:space="0" w:color="auto"/>
              <w:right w:val="single" w:sz="4" w:space="0" w:color="auto"/>
            </w:tcBorders>
            <w:shd w:val="clear" w:color="000000" w:fill="ACB9CA"/>
            <w:noWrap/>
            <w:vAlign w:val="bottom"/>
            <w:hideMark/>
          </w:tcPr>
          <w:p w14:paraId="5C49B52D"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JERÁRQUICO</w:t>
            </w:r>
          </w:p>
          <w:p w14:paraId="12B85A9D"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p>
          <w:p w14:paraId="4578F5A7"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p>
        </w:tc>
        <w:tc>
          <w:tcPr>
            <w:tcW w:w="1054" w:type="dxa"/>
            <w:tcBorders>
              <w:top w:val="nil"/>
              <w:left w:val="nil"/>
              <w:bottom w:val="single" w:sz="4" w:space="0" w:color="auto"/>
              <w:right w:val="single" w:sz="4" w:space="0" w:color="auto"/>
            </w:tcBorders>
            <w:shd w:val="clear" w:color="000000" w:fill="ACB9CA"/>
            <w:vAlign w:val="bottom"/>
            <w:hideMark/>
          </w:tcPr>
          <w:p w14:paraId="4C74DF7C"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 xml:space="preserve">TARIFA &lt;12HRS </w:t>
            </w:r>
          </w:p>
          <w:p w14:paraId="3AAE6D64"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p>
          <w:p w14:paraId="50A76AE5"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p>
        </w:tc>
        <w:tc>
          <w:tcPr>
            <w:tcW w:w="1469" w:type="dxa"/>
            <w:tcBorders>
              <w:top w:val="nil"/>
              <w:left w:val="nil"/>
              <w:bottom w:val="single" w:sz="4" w:space="0" w:color="auto"/>
              <w:right w:val="single" w:sz="4" w:space="0" w:color="auto"/>
            </w:tcBorders>
            <w:shd w:val="clear" w:color="000000" w:fill="ACB9CA"/>
            <w:vAlign w:val="bottom"/>
            <w:hideMark/>
          </w:tcPr>
          <w:p w14:paraId="41BCBDAA"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TARIFA SIN PERNOCTA</w:t>
            </w:r>
          </w:p>
        </w:tc>
        <w:tc>
          <w:tcPr>
            <w:tcW w:w="1469" w:type="dxa"/>
            <w:tcBorders>
              <w:top w:val="nil"/>
              <w:left w:val="nil"/>
              <w:bottom w:val="single" w:sz="4" w:space="0" w:color="auto"/>
              <w:right w:val="single" w:sz="4" w:space="0" w:color="auto"/>
            </w:tcBorders>
            <w:shd w:val="clear" w:color="000000" w:fill="ACB9CA"/>
            <w:vAlign w:val="bottom"/>
            <w:hideMark/>
          </w:tcPr>
          <w:p w14:paraId="00C500DF"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TARIFA CON PERNOCTA</w:t>
            </w:r>
          </w:p>
        </w:tc>
      </w:tr>
      <w:tr w:rsidR="003A79AA" w:rsidRPr="00CF1180" w14:paraId="4CCD180F" w14:textId="77777777" w:rsidTr="00AB71B5">
        <w:trPr>
          <w:trHeight w:val="317"/>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5FD069C5"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w:t>
            </w:r>
          </w:p>
        </w:tc>
        <w:tc>
          <w:tcPr>
            <w:tcW w:w="1054" w:type="dxa"/>
            <w:tcBorders>
              <w:top w:val="nil"/>
              <w:left w:val="nil"/>
              <w:bottom w:val="single" w:sz="4" w:space="0" w:color="auto"/>
              <w:right w:val="single" w:sz="4" w:space="0" w:color="auto"/>
            </w:tcBorders>
            <w:shd w:val="clear" w:color="auto" w:fill="auto"/>
            <w:noWrap/>
            <w:vAlign w:val="bottom"/>
            <w:hideMark/>
          </w:tcPr>
          <w:p w14:paraId="597699A5"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9</w:t>
            </w:r>
          </w:p>
        </w:tc>
        <w:tc>
          <w:tcPr>
            <w:tcW w:w="1469" w:type="dxa"/>
            <w:tcBorders>
              <w:top w:val="nil"/>
              <w:left w:val="nil"/>
              <w:bottom w:val="single" w:sz="4" w:space="0" w:color="auto"/>
              <w:right w:val="single" w:sz="4" w:space="0" w:color="auto"/>
            </w:tcBorders>
            <w:shd w:val="clear" w:color="auto" w:fill="auto"/>
            <w:noWrap/>
            <w:vAlign w:val="bottom"/>
            <w:hideMark/>
          </w:tcPr>
          <w:p w14:paraId="35F146D4"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19</w:t>
            </w:r>
          </w:p>
        </w:tc>
        <w:tc>
          <w:tcPr>
            <w:tcW w:w="1469" w:type="dxa"/>
            <w:tcBorders>
              <w:top w:val="nil"/>
              <w:left w:val="nil"/>
              <w:bottom w:val="single" w:sz="4" w:space="0" w:color="auto"/>
              <w:right w:val="single" w:sz="4" w:space="0" w:color="auto"/>
            </w:tcBorders>
            <w:shd w:val="clear" w:color="auto" w:fill="auto"/>
            <w:noWrap/>
            <w:vAlign w:val="bottom"/>
            <w:hideMark/>
          </w:tcPr>
          <w:p w14:paraId="0436FE79"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29</w:t>
            </w:r>
          </w:p>
        </w:tc>
      </w:tr>
      <w:tr w:rsidR="003A79AA" w:rsidRPr="00CF1180" w14:paraId="31DC1BFA" w14:textId="77777777" w:rsidTr="00AB71B5">
        <w:trPr>
          <w:trHeight w:val="317"/>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7320E8D0"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II</w:t>
            </w:r>
          </w:p>
        </w:tc>
        <w:tc>
          <w:tcPr>
            <w:tcW w:w="1054" w:type="dxa"/>
            <w:tcBorders>
              <w:top w:val="nil"/>
              <w:left w:val="nil"/>
              <w:bottom w:val="single" w:sz="4" w:space="0" w:color="auto"/>
              <w:right w:val="single" w:sz="4" w:space="0" w:color="auto"/>
            </w:tcBorders>
            <w:shd w:val="clear" w:color="auto" w:fill="auto"/>
            <w:noWrap/>
            <w:vAlign w:val="bottom"/>
            <w:hideMark/>
          </w:tcPr>
          <w:p w14:paraId="50906CF2"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8</w:t>
            </w:r>
          </w:p>
        </w:tc>
        <w:tc>
          <w:tcPr>
            <w:tcW w:w="1469" w:type="dxa"/>
            <w:tcBorders>
              <w:top w:val="nil"/>
              <w:left w:val="nil"/>
              <w:bottom w:val="single" w:sz="4" w:space="0" w:color="auto"/>
              <w:right w:val="single" w:sz="4" w:space="0" w:color="auto"/>
            </w:tcBorders>
            <w:shd w:val="clear" w:color="auto" w:fill="auto"/>
            <w:noWrap/>
            <w:vAlign w:val="bottom"/>
            <w:hideMark/>
          </w:tcPr>
          <w:p w14:paraId="4FB063A5"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17</w:t>
            </w:r>
          </w:p>
        </w:tc>
        <w:tc>
          <w:tcPr>
            <w:tcW w:w="1469" w:type="dxa"/>
            <w:tcBorders>
              <w:top w:val="nil"/>
              <w:left w:val="nil"/>
              <w:bottom w:val="single" w:sz="4" w:space="0" w:color="auto"/>
              <w:right w:val="single" w:sz="4" w:space="0" w:color="auto"/>
            </w:tcBorders>
            <w:shd w:val="clear" w:color="auto" w:fill="auto"/>
            <w:noWrap/>
            <w:vAlign w:val="bottom"/>
            <w:hideMark/>
          </w:tcPr>
          <w:p w14:paraId="3CEB81B7"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25</w:t>
            </w:r>
          </w:p>
        </w:tc>
      </w:tr>
      <w:tr w:rsidR="003A79AA" w:rsidRPr="00CF1180" w14:paraId="4CAF4329" w14:textId="77777777" w:rsidTr="00AB71B5">
        <w:trPr>
          <w:trHeight w:val="317"/>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642A1F22"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III Y IV</w:t>
            </w:r>
          </w:p>
        </w:tc>
        <w:tc>
          <w:tcPr>
            <w:tcW w:w="1054" w:type="dxa"/>
            <w:tcBorders>
              <w:top w:val="nil"/>
              <w:left w:val="nil"/>
              <w:bottom w:val="single" w:sz="4" w:space="0" w:color="auto"/>
              <w:right w:val="single" w:sz="4" w:space="0" w:color="auto"/>
            </w:tcBorders>
            <w:shd w:val="clear" w:color="auto" w:fill="auto"/>
            <w:noWrap/>
            <w:vAlign w:val="bottom"/>
            <w:hideMark/>
          </w:tcPr>
          <w:p w14:paraId="3EF948F9"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7</w:t>
            </w:r>
          </w:p>
        </w:tc>
        <w:tc>
          <w:tcPr>
            <w:tcW w:w="1469" w:type="dxa"/>
            <w:tcBorders>
              <w:top w:val="nil"/>
              <w:left w:val="nil"/>
              <w:bottom w:val="single" w:sz="4" w:space="0" w:color="auto"/>
              <w:right w:val="single" w:sz="4" w:space="0" w:color="auto"/>
            </w:tcBorders>
            <w:shd w:val="clear" w:color="auto" w:fill="auto"/>
            <w:noWrap/>
            <w:vAlign w:val="bottom"/>
            <w:hideMark/>
          </w:tcPr>
          <w:p w14:paraId="7C714854"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14</w:t>
            </w:r>
          </w:p>
        </w:tc>
        <w:tc>
          <w:tcPr>
            <w:tcW w:w="1469" w:type="dxa"/>
            <w:tcBorders>
              <w:top w:val="nil"/>
              <w:left w:val="nil"/>
              <w:bottom w:val="single" w:sz="4" w:space="0" w:color="auto"/>
              <w:right w:val="single" w:sz="4" w:space="0" w:color="auto"/>
            </w:tcBorders>
            <w:shd w:val="clear" w:color="auto" w:fill="auto"/>
            <w:noWrap/>
            <w:vAlign w:val="bottom"/>
            <w:hideMark/>
          </w:tcPr>
          <w:p w14:paraId="20F0B07C"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21</w:t>
            </w:r>
          </w:p>
        </w:tc>
      </w:tr>
      <w:tr w:rsidR="003A79AA" w:rsidRPr="00CF1180" w14:paraId="6C888315" w14:textId="77777777" w:rsidTr="00AB71B5">
        <w:trPr>
          <w:trHeight w:val="317"/>
          <w:jc w:val="center"/>
        </w:trPr>
        <w:tc>
          <w:tcPr>
            <w:tcW w:w="5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06BFC" w14:textId="77777777" w:rsidR="003A79AA" w:rsidRPr="00CE127C" w:rsidRDefault="003A79AA" w:rsidP="00804948">
            <w:pPr>
              <w:spacing w:after="0" w:line="240" w:lineRule="auto"/>
              <w:jc w:val="center"/>
              <w:rPr>
                <w:rFonts w:ascii="Arial" w:eastAsia="Times New Roman" w:hAnsi="Arial" w:cs="Arial"/>
                <w:sz w:val="24"/>
                <w:szCs w:val="24"/>
                <w:lang w:eastAsia="es-MX"/>
              </w:rPr>
            </w:pPr>
            <w:r w:rsidRPr="00CE127C">
              <w:rPr>
                <w:rFonts w:ascii="Arial" w:eastAsia="Times New Roman" w:hAnsi="Arial" w:cs="Arial"/>
                <w:sz w:val="24"/>
                <w:szCs w:val="24"/>
                <w:lang w:eastAsia="es-MX"/>
              </w:rPr>
              <w:t xml:space="preserve">AGUASCALIENTES, BAJA </w:t>
            </w:r>
            <w:proofErr w:type="gramStart"/>
            <w:r w:rsidRPr="00CE127C">
              <w:rPr>
                <w:rFonts w:ascii="Arial" w:eastAsia="Times New Roman" w:hAnsi="Arial" w:cs="Arial"/>
                <w:sz w:val="24"/>
                <w:szCs w:val="24"/>
                <w:lang w:eastAsia="es-MX"/>
              </w:rPr>
              <w:t>CALIFORNIA,  CAMPECHE</w:t>
            </w:r>
            <w:proofErr w:type="gramEnd"/>
            <w:r w:rsidRPr="00CE127C">
              <w:rPr>
                <w:rFonts w:ascii="Arial" w:eastAsia="Times New Roman" w:hAnsi="Arial" w:cs="Arial"/>
                <w:sz w:val="24"/>
                <w:szCs w:val="24"/>
                <w:lang w:eastAsia="es-MX"/>
              </w:rPr>
              <w:t>, CHIAPAS, CIUDAD DE MÉXICO, COAHUILA, COLIMA, DURANGO, ESTADO DE MÉXICO, GUANAJUATO,  HIDALGO, JALISCO, MICHOACÁN, MORELOS, NAYARIT, NUEVO LEÓN, OAXACA, PUEBLA, QUERÉTARO,  SAN LUIS POTOSÍ, SINALOA, SONORA, TABASCO, TAMAULIPAS, TLAXCALA, VERACRUZ, YUCATÁN Y ZACATECAS</w:t>
            </w:r>
          </w:p>
          <w:p w14:paraId="5D2B988F"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p>
        </w:tc>
      </w:tr>
    </w:tbl>
    <w:p w14:paraId="4C19B45D" w14:textId="77777777" w:rsidR="003A79AA" w:rsidRPr="00CF1180" w:rsidRDefault="003A79AA" w:rsidP="003A79AA">
      <w:pPr>
        <w:jc w:val="center"/>
        <w:rPr>
          <w:rFonts w:ascii="Arial" w:eastAsia="Times New Roman" w:hAnsi="Arial" w:cs="Arial"/>
          <w:sz w:val="24"/>
          <w:szCs w:val="24"/>
          <w:lang w:eastAsia="es-MX"/>
        </w:rPr>
      </w:pPr>
    </w:p>
    <w:tbl>
      <w:tblPr>
        <w:tblW w:w="5733" w:type="dxa"/>
        <w:jc w:val="center"/>
        <w:tblCellMar>
          <w:left w:w="70" w:type="dxa"/>
          <w:right w:w="70" w:type="dxa"/>
        </w:tblCellMar>
        <w:tblLook w:val="04A0" w:firstRow="1" w:lastRow="0" w:firstColumn="1" w:lastColumn="0" w:noHBand="0" w:noVBand="1"/>
      </w:tblPr>
      <w:tblGrid>
        <w:gridCol w:w="1741"/>
        <w:gridCol w:w="1054"/>
        <w:gridCol w:w="1469"/>
        <w:gridCol w:w="1469"/>
      </w:tblGrid>
      <w:tr w:rsidR="003A79AA" w:rsidRPr="00CF1180" w14:paraId="75A0C0A0" w14:textId="77777777" w:rsidTr="00AB71B5">
        <w:trPr>
          <w:trHeight w:val="308"/>
          <w:jc w:val="center"/>
        </w:trPr>
        <w:tc>
          <w:tcPr>
            <w:tcW w:w="5733" w:type="dxa"/>
            <w:gridSpan w:val="4"/>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754F1335"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REPÚBLICA MÁS CARAS</w:t>
            </w:r>
          </w:p>
        </w:tc>
      </w:tr>
      <w:tr w:rsidR="003A79AA" w:rsidRPr="00CF1180" w14:paraId="0D419761" w14:textId="77777777" w:rsidTr="00AB71B5">
        <w:trPr>
          <w:trHeight w:val="648"/>
          <w:jc w:val="center"/>
        </w:trPr>
        <w:tc>
          <w:tcPr>
            <w:tcW w:w="1741" w:type="dxa"/>
            <w:tcBorders>
              <w:top w:val="nil"/>
              <w:left w:val="single" w:sz="4" w:space="0" w:color="auto"/>
              <w:bottom w:val="single" w:sz="4" w:space="0" w:color="auto"/>
              <w:right w:val="single" w:sz="4" w:space="0" w:color="auto"/>
            </w:tcBorders>
            <w:shd w:val="clear" w:color="000000" w:fill="ACB9CA"/>
            <w:noWrap/>
            <w:vAlign w:val="bottom"/>
            <w:hideMark/>
          </w:tcPr>
          <w:p w14:paraId="330ABB61"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JERÁRQUICO</w:t>
            </w:r>
          </w:p>
          <w:p w14:paraId="3DC33874"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p>
          <w:p w14:paraId="0559872C"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p>
        </w:tc>
        <w:tc>
          <w:tcPr>
            <w:tcW w:w="1054" w:type="dxa"/>
            <w:tcBorders>
              <w:top w:val="nil"/>
              <w:left w:val="nil"/>
              <w:bottom w:val="single" w:sz="4" w:space="0" w:color="auto"/>
              <w:right w:val="single" w:sz="4" w:space="0" w:color="auto"/>
            </w:tcBorders>
            <w:shd w:val="clear" w:color="000000" w:fill="ACB9CA"/>
            <w:vAlign w:val="bottom"/>
            <w:hideMark/>
          </w:tcPr>
          <w:p w14:paraId="56A34BF8"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 xml:space="preserve">TARIFA &lt;12HRS </w:t>
            </w:r>
          </w:p>
          <w:p w14:paraId="51A650A5"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p>
        </w:tc>
        <w:tc>
          <w:tcPr>
            <w:tcW w:w="1469" w:type="dxa"/>
            <w:tcBorders>
              <w:top w:val="nil"/>
              <w:left w:val="nil"/>
              <w:bottom w:val="single" w:sz="4" w:space="0" w:color="auto"/>
              <w:right w:val="single" w:sz="4" w:space="0" w:color="auto"/>
            </w:tcBorders>
            <w:shd w:val="clear" w:color="000000" w:fill="ACB9CA"/>
            <w:vAlign w:val="bottom"/>
            <w:hideMark/>
          </w:tcPr>
          <w:p w14:paraId="7470A4D4"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TARIFA SIN PERNOCTA</w:t>
            </w:r>
          </w:p>
        </w:tc>
        <w:tc>
          <w:tcPr>
            <w:tcW w:w="1469" w:type="dxa"/>
            <w:tcBorders>
              <w:top w:val="nil"/>
              <w:left w:val="nil"/>
              <w:bottom w:val="single" w:sz="4" w:space="0" w:color="auto"/>
              <w:right w:val="single" w:sz="4" w:space="0" w:color="auto"/>
            </w:tcBorders>
            <w:shd w:val="clear" w:color="000000" w:fill="ACB9CA"/>
            <w:vAlign w:val="bottom"/>
            <w:hideMark/>
          </w:tcPr>
          <w:p w14:paraId="20703F85"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TARIFA CON PERNOCTA</w:t>
            </w:r>
          </w:p>
        </w:tc>
      </w:tr>
      <w:tr w:rsidR="003A79AA" w:rsidRPr="00CF1180" w14:paraId="3093C9D0" w14:textId="77777777" w:rsidTr="00AB71B5">
        <w:trPr>
          <w:trHeight w:val="308"/>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28591159"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w:t>
            </w:r>
          </w:p>
        </w:tc>
        <w:tc>
          <w:tcPr>
            <w:tcW w:w="1054" w:type="dxa"/>
            <w:tcBorders>
              <w:top w:val="nil"/>
              <w:left w:val="nil"/>
              <w:bottom w:val="single" w:sz="4" w:space="0" w:color="auto"/>
              <w:right w:val="single" w:sz="4" w:space="0" w:color="auto"/>
            </w:tcBorders>
            <w:shd w:val="clear" w:color="auto" w:fill="auto"/>
            <w:noWrap/>
            <w:vAlign w:val="bottom"/>
            <w:hideMark/>
          </w:tcPr>
          <w:p w14:paraId="7BFB4424"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11</w:t>
            </w:r>
          </w:p>
        </w:tc>
        <w:tc>
          <w:tcPr>
            <w:tcW w:w="1469" w:type="dxa"/>
            <w:tcBorders>
              <w:top w:val="nil"/>
              <w:left w:val="nil"/>
              <w:bottom w:val="single" w:sz="4" w:space="0" w:color="auto"/>
              <w:right w:val="single" w:sz="4" w:space="0" w:color="auto"/>
            </w:tcBorders>
            <w:shd w:val="clear" w:color="auto" w:fill="auto"/>
            <w:noWrap/>
            <w:vAlign w:val="bottom"/>
            <w:hideMark/>
          </w:tcPr>
          <w:p w14:paraId="71721DD9"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28</w:t>
            </w:r>
          </w:p>
        </w:tc>
        <w:tc>
          <w:tcPr>
            <w:tcW w:w="1469" w:type="dxa"/>
            <w:tcBorders>
              <w:top w:val="nil"/>
              <w:left w:val="nil"/>
              <w:bottom w:val="single" w:sz="4" w:space="0" w:color="auto"/>
              <w:right w:val="single" w:sz="4" w:space="0" w:color="auto"/>
            </w:tcBorders>
            <w:shd w:val="clear" w:color="auto" w:fill="auto"/>
            <w:noWrap/>
            <w:vAlign w:val="bottom"/>
            <w:hideMark/>
          </w:tcPr>
          <w:p w14:paraId="41F008F0"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39</w:t>
            </w:r>
          </w:p>
        </w:tc>
      </w:tr>
      <w:tr w:rsidR="003A79AA" w:rsidRPr="00CF1180" w14:paraId="353BEF87" w14:textId="77777777" w:rsidTr="00AB71B5">
        <w:trPr>
          <w:trHeight w:val="308"/>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30B1F63F"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II</w:t>
            </w:r>
          </w:p>
        </w:tc>
        <w:tc>
          <w:tcPr>
            <w:tcW w:w="1054" w:type="dxa"/>
            <w:tcBorders>
              <w:top w:val="nil"/>
              <w:left w:val="nil"/>
              <w:bottom w:val="single" w:sz="4" w:space="0" w:color="auto"/>
              <w:right w:val="single" w:sz="4" w:space="0" w:color="auto"/>
            </w:tcBorders>
            <w:shd w:val="clear" w:color="auto" w:fill="auto"/>
            <w:noWrap/>
            <w:vAlign w:val="bottom"/>
            <w:hideMark/>
          </w:tcPr>
          <w:p w14:paraId="3640A5E1"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9</w:t>
            </w:r>
          </w:p>
        </w:tc>
        <w:tc>
          <w:tcPr>
            <w:tcW w:w="1469" w:type="dxa"/>
            <w:tcBorders>
              <w:top w:val="nil"/>
              <w:left w:val="nil"/>
              <w:bottom w:val="single" w:sz="4" w:space="0" w:color="auto"/>
              <w:right w:val="single" w:sz="4" w:space="0" w:color="auto"/>
            </w:tcBorders>
            <w:shd w:val="clear" w:color="auto" w:fill="auto"/>
            <w:noWrap/>
            <w:vAlign w:val="bottom"/>
            <w:hideMark/>
          </w:tcPr>
          <w:p w14:paraId="69287E28"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24</w:t>
            </w:r>
          </w:p>
        </w:tc>
        <w:tc>
          <w:tcPr>
            <w:tcW w:w="1469" w:type="dxa"/>
            <w:tcBorders>
              <w:top w:val="nil"/>
              <w:left w:val="nil"/>
              <w:bottom w:val="single" w:sz="4" w:space="0" w:color="auto"/>
              <w:right w:val="single" w:sz="4" w:space="0" w:color="auto"/>
            </w:tcBorders>
            <w:shd w:val="clear" w:color="auto" w:fill="auto"/>
            <w:noWrap/>
            <w:vAlign w:val="bottom"/>
            <w:hideMark/>
          </w:tcPr>
          <w:p w14:paraId="517CA111"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33</w:t>
            </w:r>
          </w:p>
        </w:tc>
      </w:tr>
      <w:tr w:rsidR="003A79AA" w:rsidRPr="00CF1180" w14:paraId="2BF1B516" w14:textId="77777777" w:rsidTr="00AB71B5">
        <w:trPr>
          <w:trHeight w:val="308"/>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5760EC87" w14:textId="77777777" w:rsidR="003A79AA" w:rsidRPr="00CF1180" w:rsidRDefault="003A79AA" w:rsidP="00804948">
            <w:pPr>
              <w:spacing w:after="0" w:line="240" w:lineRule="auto"/>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NIVEL III Y IV</w:t>
            </w:r>
          </w:p>
        </w:tc>
        <w:tc>
          <w:tcPr>
            <w:tcW w:w="1054" w:type="dxa"/>
            <w:tcBorders>
              <w:top w:val="nil"/>
              <w:left w:val="nil"/>
              <w:bottom w:val="single" w:sz="4" w:space="0" w:color="auto"/>
              <w:right w:val="single" w:sz="4" w:space="0" w:color="auto"/>
            </w:tcBorders>
            <w:shd w:val="clear" w:color="auto" w:fill="auto"/>
            <w:noWrap/>
            <w:vAlign w:val="bottom"/>
            <w:hideMark/>
          </w:tcPr>
          <w:p w14:paraId="3C5ED2C1"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8</w:t>
            </w:r>
          </w:p>
        </w:tc>
        <w:tc>
          <w:tcPr>
            <w:tcW w:w="1469" w:type="dxa"/>
            <w:tcBorders>
              <w:top w:val="nil"/>
              <w:left w:val="nil"/>
              <w:bottom w:val="single" w:sz="4" w:space="0" w:color="auto"/>
              <w:right w:val="single" w:sz="4" w:space="0" w:color="auto"/>
            </w:tcBorders>
            <w:shd w:val="clear" w:color="auto" w:fill="auto"/>
            <w:noWrap/>
            <w:vAlign w:val="bottom"/>
            <w:hideMark/>
          </w:tcPr>
          <w:p w14:paraId="1CC81C8B"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20</w:t>
            </w:r>
          </w:p>
        </w:tc>
        <w:tc>
          <w:tcPr>
            <w:tcW w:w="1469" w:type="dxa"/>
            <w:tcBorders>
              <w:top w:val="nil"/>
              <w:left w:val="nil"/>
              <w:bottom w:val="single" w:sz="4" w:space="0" w:color="auto"/>
              <w:right w:val="single" w:sz="4" w:space="0" w:color="auto"/>
            </w:tcBorders>
            <w:shd w:val="clear" w:color="auto" w:fill="auto"/>
            <w:noWrap/>
            <w:vAlign w:val="bottom"/>
            <w:hideMark/>
          </w:tcPr>
          <w:p w14:paraId="43FBBF96" w14:textId="77777777" w:rsidR="003A79AA" w:rsidRPr="00CF1180" w:rsidRDefault="003A79AA" w:rsidP="00804948">
            <w:pPr>
              <w:spacing w:after="0" w:line="240" w:lineRule="auto"/>
              <w:jc w:val="center"/>
              <w:rPr>
                <w:rFonts w:ascii="Arial" w:eastAsia="Times New Roman" w:hAnsi="Arial" w:cs="Arial"/>
                <w:color w:val="000000"/>
                <w:sz w:val="24"/>
                <w:szCs w:val="24"/>
                <w:lang w:eastAsia="es-MX"/>
              </w:rPr>
            </w:pPr>
            <w:r w:rsidRPr="00CF1180">
              <w:rPr>
                <w:rFonts w:ascii="Arial" w:eastAsia="Times New Roman" w:hAnsi="Arial" w:cs="Arial"/>
                <w:color w:val="000000"/>
                <w:sz w:val="24"/>
                <w:szCs w:val="24"/>
                <w:lang w:eastAsia="es-MX"/>
              </w:rPr>
              <w:t>28</w:t>
            </w:r>
          </w:p>
        </w:tc>
      </w:tr>
      <w:tr w:rsidR="003A79AA" w:rsidRPr="00CF1180" w14:paraId="5021D6E4" w14:textId="77777777" w:rsidTr="00AB71B5">
        <w:trPr>
          <w:trHeight w:val="308"/>
          <w:jc w:val="center"/>
        </w:trPr>
        <w:tc>
          <w:tcPr>
            <w:tcW w:w="57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CCD6E" w14:textId="77777777" w:rsidR="003A79AA" w:rsidRPr="00CE127C" w:rsidRDefault="003A79AA" w:rsidP="00804948">
            <w:pPr>
              <w:spacing w:after="0" w:line="240" w:lineRule="auto"/>
              <w:jc w:val="center"/>
              <w:rPr>
                <w:rFonts w:ascii="Arial" w:eastAsia="Times New Roman" w:hAnsi="Arial" w:cs="Arial"/>
                <w:sz w:val="24"/>
                <w:szCs w:val="24"/>
                <w:lang w:eastAsia="es-MX"/>
              </w:rPr>
            </w:pPr>
            <w:r w:rsidRPr="00CE127C">
              <w:rPr>
                <w:rFonts w:ascii="Arial" w:eastAsia="Times New Roman" w:hAnsi="Arial" w:cs="Arial"/>
                <w:sz w:val="24"/>
                <w:szCs w:val="24"/>
                <w:lang w:eastAsia="es-MX"/>
              </w:rPr>
              <w:t>BAJA CALIFORNIA SUR, GUERRERO Y QUINTANA ROO.</w:t>
            </w:r>
          </w:p>
        </w:tc>
      </w:tr>
    </w:tbl>
    <w:p w14:paraId="78CF1DED" w14:textId="77777777" w:rsidR="003A79AA" w:rsidRDefault="003A79AA" w:rsidP="003A79AA">
      <w:pPr>
        <w:jc w:val="center"/>
        <w:rPr>
          <w:rFonts w:ascii="Arial" w:eastAsia="Times New Roman" w:hAnsi="Arial" w:cs="Arial"/>
          <w:sz w:val="24"/>
          <w:szCs w:val="24"/>
          <w:lang w:eastAsia="es-MX"/>
        </w:rPr>
      </w:pPr>
    </w:p>
    <w:p w14:paraId="3CBBFAF1" w14:textId="77777777" w:rsidR="003A79AA" w:rsidRPr="00CF1180" w:rsidRDefault="003A79AA" w:rsidP="003A79AA">
      <w:pPr>
        <w:jc w:val="center"/>
        <w:rPr>
          <w:rFonts w:ascii="Arial" w:eastAsia="Times New Roman" w:hAnsi="Arial" w:cs="Arial"/>
          <w:sz w:val="24"/>
          <w:szCs w:val="24"/>
          <w:lang w:eastAsia="es-MX"/>
        </w:rPr>
      </w:pPr>
    </w:p>
    <w:p w14:paraId="1296D47B" w14:textId="77777777" w:rsidR="003A79AA" w:rsidRPr="00CF1180" w:rsidRDefault="003A79AA" w:rsidP="003A79AA">
      <w:pPr>
        <w:jc w:val="center"/>
        <w:rPr>
          <w:rFonts w:ascii="Arial" w:eastAsia="Times New Roman" w:hAnsi="Arial" w:cs="Arial"/>
          <w:b/>
          <w:bCs/>
          <w:color w:val="000000"/>
          <w:sz w:val="24"/>
          <w:szCs w:val="24"/>
          <w:lang w:eastAsia="es-MX"/>
        </w:rPr>
      </w:pPr>
      <w:r w:rsidRPr="00CF1180">
        <w:rPr>
          <w:rFonts w:ascii="Arial" w:eastAsia="Times New Roman" w:hAnsi="Arial" w:cs="Arial"/>
          <w:b/>
          <w:bCs/>
          <w:color w:val="000000"/>
          <w:sz w:val="24"/>
          <w:szCs w:val="24"/>
          <w:lang w:eastAsia="es-MX"/>
        </w:rPr>
        <w:t>ANEXO 4</w:t>
      </w:r>
    </w:p>
    <w:p w14:paraId="3F623FDC" w14:textId="77777777" w:rsidR="003A79AA" w:rsidRPr="00CF1180" w:rsidRDefault="003A79AA" w:rsidP="003A79AA">
      <w:pPr>
        <w:jc w:val="center"/>
        <w:rPr>
          <w:rFonts w:ascii="Arial" w:hAnsi="Arial" w:cs="Arial"/>
          <w:b/>
          <w:bCs/>
          <w:sz w:val="24"/>
          <w:szCs w:val="24"/>
        </w:rPr>
      </w:pPr>
      <w:r w:rsidRPr="00CF1180">
        <w:rPr>
          <w:rFonts w:ascii="Arial" w:hAnsi="Arial" w:cs="Arial"/>
          <w:b/>
          <w:bCs/>
          <w:sz w:val="24"/>
          <w:szCs w:val="24"/>
        </w:rPr>
        <w:t>TARIFAS DE VIÁTICOS INTERNACIONALES</w:t>
      </w:r>
    </w:p>
    <w:p w14:paraId="3738B835" w14:textId="77777777" w:rsidR="003A79AA" w:rsidRPr="00CF1180" w:rsidRDefault="003A79AA" w:rsidP="003A79AA">
      <w:pPr>
        <w:jc w:val="center"/>
        <w:rPr>
          <w:rFonts w:ascii="Arial" w:hAnsi="Arial" w:cs="Arial"/>
          <w:b/>
          <w:bCs/>
          <w:sz w:val="24"/>
          <w:szCs w:val="24"/>
        </w:rPr>
      </w:pPr>
    </w:p>
    <w:tbl>
      <w:tblPr>
        <w:tblStyle w:val="Tablaconcuadrcula"/>
        <w:tblW w:w="0" w:type="auto"/>
        <w:jc w:val="center"/>
        <w:tblLook w:val="04A0" w:firstRow="1" w:lastRow="0" w:firstColumn="1" w:lastColumn="0" w:noHBand="0" w:noVBand="1"/>
      </w:tblPr>
      <w:tblGrid>
        <w:gridCol w:w="1607"/>
        <w:gridCol w:w="1433"/>
        <w:gridCol w:w="688"/>
      </w:tblGrid>
      <w:tr w:rsidR="003A79AA" w:rsidRPr="00CF1180" w14:paraId="792109DE" w14:textId="77777777" w:rsidTr="00804948">
        <w:trPr>
          <w:jc w:val="center"/>
        </w:trPr>
        <w:tc>
          <w:tcPr>
            <w:tcW w:w="1607" w:type="dxa"/>
          </w:tcPr>
          <w:p w14:paraId="15FFA891"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 xml:space="preserve">ESTADOS UNIDOS, AMÉRICA DEL SUR Y CENTRO AMÉRICA </w:t>
            </w:r>
          </w:p>
        </w:tc>
        <w:tc>
          <w:tcPr>
            <w:tcW w:w="1433" w:type="dxa"/>
          </w:tcPr>
          <w:p w14:paraId="0BF277F4"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DLLS</w:t>
            </w:r>
          </w:p>
        </w:tc>
        <w:tc>
          <w:tcPr>
            <w:tcW w:w="688" w:type="dxa"/>
          </w:tcPr>
          <w:p w14:paraId="6FF084BC"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385</w:t>
            </w:r>
          </w:p>
        </w:tc>
      </w:tr>
      <w:tr w:rsidR="003A79AA" w:rsidRPr="00CF1180" w14:paraId="4847FFDB" w14:textId="77777777" w:rsidTr="00804948">
        <w:trPr>
          <w:jc w:val="center"/>
        </w:trPr>
        <w:tc>
          <w:tcPr>
            <w:tcW w:w="1607" w:type="dxa"/>
          </w:tcPr>
          <w:p w14:paraId="0384874F"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CANADÁ</w:t>
            </w:r>
          </w:p>
        </w:tc>
        <w:tc>
          <w:tcPr>
            <w:tcW w:w="1433" w:type="dxa"/>
          </w:tcPr>
          <w:p w14:paraId="0E478658"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DLLS</w:t>
            </w:r>
          </w:p>
        </w:tc>
        <w:tc>
          <w:tcPr>
            <w:tcW w:w="688" w:type="dxa"/>
          </w:tcPr>
          <w:p w14:paraId="68F98AA0"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350</w:t>
            </w:r>
          </w:p>
        </w:tc>
      </w:tr>
      <w:tr w:rsidR="003A79AA" w:rsidRPr="00CF1180" w14:paraId="64598B0E" w14:textId="77777777" w:rsidTr="00804948">
        <w:trPr>
          <w:jc w:val="center"/>
        </w:trPr>
        <w:tc>
          <w:tcPr>
            <w:tcW w:w="1607" w:type="dxa"/>
          </w:tcPr>
          <w:p w14:paraId="0D2F4556"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EUROPA</w:t>
            </w:r>
          </w:p>
        </w:tc>
        <w:tc>
          <w:tcPr>
            <w:tcW w:w="1433" w:type="dxa"/>
          </w:tcPr>
          <w:p w14:paraId="6983A05F"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DLLS</w:t>
            </w:r>
          </w:p>
        </w:tc>
        <w:tc>
          <w:tcPr>
            <w:tcW w:w="688" w:type="dxa"/>
          </w:tcPr>
          <w:p w14:paraId="79AC5C30"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448</w:t>
            </w:r>
          </w:p>
        </w:tc>
      </w:tr>
      <w:tr w:rsidR="003A79AA" w:rsidRPr="00CF1180" w14:paraId="19E6AA48" w14:textId="77777777" w:rsidTr="00804948">
        <w:trPr>
          <w:jc w:val="center"/>
        </w:trPr>
        <w:tc>
          <w:tcPr>
            <w:tcW w:w="1607" w:type="dxa"/>
          </w:tcPr>
          <w:p w14:paraId="5A388E65"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 xml:space="preserve">ASIA, ÁFRICA, OCEANÍA  </w:t>
            </w:r>
          </w:p>
        </w:tc>
        <w:tc>
          <w:tcPr>
            <w:tcW w:w="1433" w:type="dxa"/>
          </w:tcPr>
          <w:p w14:paraId="46BBB1A0"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DLLS</w:t>
            </w:r>
          </w:p>
        </w:tc>
        <w:tc>
          <w:tcPr>
            <w:tcW w:w="688" w:type="dxa"/>
          </w:tcPr>
          <w:p w14:paraId="299A2769" w14:textId="77777777" w:rsidR="003A79AA" w:rsidRPr="00CE127C" w:rsidRDefault="003A79AA" w:rsidP="00804948">
            <w:pPr>
              <w:jc w:val="center"/>
              <w:rPr>
                <w:rFonts w:ascii="Arial" w:hAnsi="Arial" w:cs="Arial"/>
                <w:sz w:val="24"/>
                <w:szCs w:val="24"/>
              </w:rPr>
            </w:pPr>
            <w:r w:rsidRPr="00CE127C">
              <w:rPr>
                <w:rFonts w:ascii="Arial" w:hAnsi="Arial" w:cs="Arial"/>
                <w:sz w:val="24"/>
                <w:szCs w:val="24"/>
              </w:rPr>
              <w:t>400</w:t>
            </w:r>
          </w:p>
        </w:tc>
      </w:tr>
    </w:tbl>
    <w:p w14:paraId="336B9421" w14:textId="77777777" w:rsidR="003A79AA" w:rsidRPr="005866EA" w:rsidRDefault="003A79AA" w:rsidP="00693BDA">
      <w:pPr>
        <w:spacing w:line="480" w:lineRule="auto"/>
        <w:jc w:val="center"/>
        <w:rPr>
          <w:rFonts w:ascii="Arial" w:eastAsia="Times New Roman" w:hAnsi="Arial" w:cs="Arial"/>
          <w:sz w:val="24"/>
          <w:szCs w:val="24"/>
          <w:lang w:eastAsia="es-MX"/>
        </w:rPr>
      </w:pPr>
    </w:p>
    <w:p w14:paraId="7E829FBF" w14:textId="77777777" w:rsidR="00693BDA" w:rsidRPr="005866EA" w:rsidRDefault="00693BDA" w:rsidP="00693BDA">
      <w:pPr>
        <w:shd w:val="clear" w:color="auto" w:fill="FFFFFF"/>
        <w:spacing w:line="480" w:lineRule="auto"/>
        <w:jc w:val="center"/>
        <w:rPr>
          <w:rFonts w:ascii="Arial" w:eastAsia="Times New Roman" w:hAnsi="Arial" w:cs="Arial"/>
          <w:b/>
          <w:bCs/>
          <w:color w:val="2F2F2F"/>
          <w:kern w:val="0"/>
          <w:sz w:val="24"/>
          <w:szCs w:val="24"/>
          <w:lang w:eastAsia="es-MX"/>
          <w14:ligatures w14:val="none"/>
        </w:rPr>
      </w:pPr>
      <w:r w:rsidRPr="005866EA">
        <w:rPr>
          <w:rFonts w:ascii="Arial" w:eastAsia="Times New Roman" w:hAnsi="Arial" w:cs="Arial"/>
          <w:b/>
          <w:bCs/>
          <w:color w:val="2F2F2F"/>
          <w:kern w:val="0"/>
          <w:sz w:val="24"/>
          <w:szCs w:val="24"/>
          <w:lang w:eastAsia="es-MX"/>
          <w14:ligatures w14:val="none"/>
        </w:rPr>
        <w:t>TRANSITORIO</w:t>
      </w:r>
    </w:p>
    <w:p w14:paraId="74376BCD" w14:textId="77777777" w:rsidR="00693BDA" w:rsidRPr="005866EA" w:rsidRDefault="00693BDA" w:rsidP="00693BDA">
      <w:pPr>
        <w:shd w:val="clear" w:color="auto" w:fill="FFFFFF"/>
        <w:spacing w:line="480" w:lineRule="auto"/>
        <w:jc w:val="both"/>
        <w:rPr>
          <w:rFonts w:ascii="Arial" w:eastAsia="Times New Roman" w:hAnsi="Arial" w:cs="Arial"/>
          <w:color w:val="2F2F2F"/>
          <w:kern w:val="0"/>
          <w:sz w:val="24"/>
          <w:szCs w:val="24"/>
          <w:lang w:eastAsia="es-MX"/>
          <w14:ligatures w14:val="none"/>
        </w:rPr>
      </w:pPr>
      <w:r w:rsidRPr="005866EA">
        <w:rPr>
          <w:rFonts w:ascii="Arial" w:eastAsia="Times New Roman" w:hAnsi="Arial" w:cs="Arial"/>
          <w:b/>
          <w:bCs/>
          <w:color w:val="2F2F2F"/>
          <w:kern w:val="0"/>
          <w:sz w:val="24"/>
          <w:szCs w:val="24"/>
          <w:lang w:eastAsia="es-MX"/>
          <w14:ligatures w14:val="none"/>
        </w:rPr>
        <w:t>ÚNICO. -</w:t>
      </w:r>
      <w:r w:rsidRPr="005866EA">
        <w:rPr>
          <w:rFonts w:ascii="Arial" w:eastAsia="Times New Roman" w:hAnsi="Arial" w:cs="Arial"/>
          <w:color w:val="2F2F2F"/>
          <w:kern w:val="0"/>
          <w:sz w:val="24"/>
          <w:szCs w:val="24"/>
          <w:lang w:eastAsia="es-MX"/>
          <w14:ligatures w14:val="none"/>
        </w:rPr>
        <w:t> El presente Acuerdo entrará en vigor el día siguiente al de su publicación en el Periódico Oficial del Gobierno del Estado de Chihuahua.</w:t>
      </w:r>
    </w:p>
    <w:p w14:paraId="27FA6150" w14:textId="14C20E15" w:rsidR="00CE127C" w:rsidRDefault="00693BDA" w:rsidP="00400965">
      <w:pPr>
        <w:shd w:val="clear" w:color="auto" w:fill="FFFFFF"/>
        <w:spacing w:line="480" w:lineRule="auto"/>
        <w:jc w:val="right"/>
        <w:rPr>
          <w:rFonts w:ascii="Arial" w:eastAsia="Times New Roman" w:hAnsi="Arial" w:cs="Arial"/>
          <w:color w:val="2F2F2F"/>
          <w:kern w:val="0"/>
          <w:sz w:val="24"/>
          <w:szCs w:val="24"/>
          <w:lang w:val="pt-PT" w:eastAsia="es-MX"/>
          <w14:ligatures w14:val="none"/>
        </w:rPr>
      </w:pPr>
      <w:r w:rsidRPr="005866EA">
        <w:rPr>
          <w:rFonts w:ascii="Arial" w:eastAsia="Times New Roman" w:hAnsi="Arial" w:cs="Arial"/>
          <w:color w:val="2F2F2F"/>
          <w:kern w:val="0"/>
          <w:sz w:val="24"/>
          <w:szCs w:val="24"/>
          <w:lang w:val="pt-PT" w:eastAsia="es-MX"/>
          <w14:ligatures w14:val="none"/>
        </w:rPr>
        <w:t xml:space="preserve">Chihuahua, Chih., a </w:t>
      </w:r>
      <w:r w:rsidR="00AB71B5">
        <w:rPr>
          <w:rFonts w:ascii="Arial" w:eastAsia="Times New Roman" w:hAnsi="Arial" w:cs="Arial"/>
          <w:color w:val="2F2F2F"/>
          <w:kern w:val="0"/>
          <w:sz w:val="24"/>
          <w:szCs w:val="24"/>
          <w:lang w:val="pt-PT" w:eastAsia="es-MX"/>
          <w14:ligatures w14:val="none"/>
        </w:rPr>
        <w:t>30</w:t>
      </w:r>
      <w:r w:rsidRPr="005866EA">
        <w:rPr>
          <w:rFonts w:ascii="Arial" w:eastAsia="Times New Roman" w:hAnsi="Arial" w:cs="Arial"/>
          <w:color w:val="2F2F2F"/>
          <w:kern w:val="0"/>
          <w:sz w:val="24"/>
          <w:szCs w:val="24"/>
          <w:lang w:val="pt-PT" w:eastAsia="es-MX"/>
          <w14:ligatures w14:val="none"/>
        </w:rPr>
        <w:t xml:space="preserve"> de agosto de 2023.</w:t>
      </w:r>
    </w:p>
    <w:p w14:paraId="29547471" w14:textId="77777777" w:rsidR="00400965" w:rsidRPr="00400965" w:rsidRDefault="00400965" w:rsidP="00400965">
      <w:pPr>
        <w:shd w:val="clear" w:color="auto" w:fill="FFFFFF"/>
        <w:spacing w:line="480" w:lineRule="auto"/>
        <w:jc w:val="right"/>
        <w:rPr>
          <w:rFonts w:ascii="Arial" w:eastAsia="Times New Roman" w:hAnsi="Arial" w:cs="Arial"/>
          <w:sz w:val="24"/>
          <w:szCs w:val="24"/>
          <w:lang w:val="pt-PT" w:eastAsia="es-MX"/>
        </w:rPr>
      </w:pPr>
    </w:p>
    <w:p w14:paraId="769E10CC" w14:textId="0D5E917E" w:rsidR="00693BDA" w:rsidRPr="005866EA" w:rsidRDefault="00715A2F" w:rsidP="00693BDA">
      <w:pPr>
        <w:spacing w:line="480" w:lineRule="auto"/>
        <w:jc w:val="center"/>
        <w:rPr>
          <w:rFonts w:ascii="Arial" w:eastAsia="Times New Roman" w:hAnsi="Arial" w:cs="Arial"/>
          <w:b/>
          <w:bCs/>
          <w:sz w:val="24"/>
          <w:szCs w:val="24"/>
          <w:lang w:eastAsia="es-MX"/>
        </w:rPr>
      </w:pPr>
      <w:r>
        <w:rPr>
          <w:rFonts w:ascii="Arial" w:eastAsia="Times New Roman" w:hAnsi="Arial" w:cs="Arial"/>
          <w:b/>
          <w:bCs/>
          <w:sz w:val="24"/>
          <w:szCs w:val="24"/>
          <w:lang w:eastAsia="es-MX"/>
        </w:rPr>
        <w:t>MTRO</w:t>
      </w:r>
      <w:r w:rsidR="00AB71B5" w:rsidRPr="005866EA">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JOSÉ DE JESÚS GRANILLO VÁZQUEZ</w:t>
      </w:r>
    </w:p>
    <w:p w14:paraId="3B38841D" w14:textId="15B4EA2B" w:rsidR="00CE127C" w:rsidRDefault="00CE127C" w:rsidP="00693BDA">
      <w:pPr>
        <w:spacing w:line="480" w:lineRule="auto"/>
        <w:jc w:val="center"/>
        <w:rPr>
          <w:rFonts w:ascii="Arial" w:eastAsia="Times New Roman" w:hAnsi="Arial" w:cs="Arial"/>
          <w:b/>
          <w:bCs/>
          <w:sz w:val="24"/>
          <w:szCs w:val="24"/>
          <w:lang w:eastAsia="es-MX"/>
        </w:rPr>
      </w:pPr>
    </w:p>
    <w:p w14:paraId="15542AFD" w14:textId="2CD1A91B" w:rsidR="00D46009" w:rsidRPr="00AB71B5" w:rsidRDefault="00715A2F" w:rsidP="00AB71B5">
      <w:pPr>
        <w:spacing w:line="480" w:lineRule="auto"/>
        <w:jc w:val="center"/>
        <w:rPr>
          <w:rFonts w:ascii="Arial" w:eastAsia="Times New Roman" w:hAnsi="Arial" w:cs="Arial"/>
          <w:sz w:val="24"/>
          <w:szCs w:val="24"/>
          <w:lang w:eastAsia="es-MX"/>
        </w:rPr>
      </w:pPr>
      <w:r>
        <w:rPr>
          <w:rFonts w:ascii="Arial" w:eastAsia="Times New Roman" w:hAnsi="Arial" w:cs="Arial"/>
          <w:b/>
          <w:bCs/>
          <w:sz w:val="24"/>
          <w:szCs w:val="24"/>
          <w:lang w:eastAsia="es-MX"/>
        </w:rPr>
        <w:t>SECRETARIO</w:t>
      </w:r>
      <w:r w:rsidR="00AB71B5" w:rsidRPr="005866EA">
        <w:rPr>
          <w:rFonts w:ascii="Arial" w:eastAsia="Times New Roman" w:hAnsi="Arial" w:cs="Arial"/>
          <w:b/>
          <w:bCs/>
          <w:sz w:val="24"/>
          <w:szCs w:val="24"/>
          <w:lang w:eastAsia="es-MX"/>
        </w:rPr>
        <w:t xml:space="preserve"> DE HACIENDA DEL PODER EJECUTIVO DEL ESTADO DE CHIHUAHUA</w:t>
      </w:r>
      <w:r w:rsidR="00AB71B5" w:rsidRPr="005866EA">
        <w:rPr>
          <w:rFonts w:ascii="Arial" w:eastAsia="Times New Roman" w:hAnsi="Arial" w:cs="Arial"/>
          <w:sz w:val="24"/>
          <w:szCs w:val="24"/>
          <w:lang w:eastAsia="es-MX"/>
        </w:rPr>
        <w:t xml:space="preserve">             </w:t>
      </w:r>
    </w:p>
    <w:sectPr w:rsidR="00D46009" w:rsidRPr="00AB71B5" w:rsidSect="00AB71B5">
      <w:footerReference w:type="default" r:id="rId6"/>
      <w:pgSz w:w="12240" w:h="15840"/>
      <w:pgMar w:top="1417"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0EEE" w14:textId="77777777" w:rsidR="00CC67A8" w:rsidRDefault="00CC67A8" w:rsidP="003E0813">
      <w:pPr>
        <w:spacing w:after="0" w:line="240" w:lineRule="auto"/>
      </w:pPr>
      <w:r>
        <w:separator/>
      </w:r>
    </w:p>
  </w:endnote>
  <w:endnote w:type="continuationSeparator" w:id="0">
    <w:p w14:paraId="48C5B131" w14:textId="77777777" w:rsidR="00CC67A8" w:rsidRDefault="00CC67A8" w:rsidP="003E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90410"/>
      <w:docPartObj>
        <w:docPartGallery w:val="Page Numbers (Bottom of Page)"/>
        <w:docPartUnique/>
      </w:docPartObj>
    </w:sdtPr>
    <w:sdtEndPr/>
    <w:sdtContent>
      <w:p w14:paraId="4FAFC2CA" w14:textId="7125B64A" w:rsidR="003E0813" w:rsidRDefault="003E0813">
        <w:pPr>
          <w:pStyle w:val="Piedepgina"/>
          <w:jc w:val="right"/>
        </w:pPr>
        <w:r>
          <w:fldChar w:fldCharType="begin"/>
        </w:r>
        <w:r>
          <w:instrText>PAGE   \* MERGEFORMAT</w:instrText>
        </w:r>
        <w:r>
          <w:fldChar w:fldCharType="separate"/>
        </w:r>
        <w:r>
          <w:rPr>
            <w:lang w:val="es-ES"/>
          </w:rPr>
          <w:t>2</w:t>
        </w:r>
        <w:r>
          <w:fldChar w:fldCharType="end"/>
        </w:r>
      </w:p>
    </w:sdtContent>
  </w:sdt>
  <w:p w14:paraId="278809B0" w14:textId="77777777" w:rsidR="003E0813" w:rsidRDefault="003E08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9604" w14:textId="77777777" w:rsidR="00CC67A8" w:rsidRDefault="00CC67A8" w:rsidP="003E0813">
      <w:pPr>
        <w:spacing w:after="0" w:line="240" w:lineRule="auto"/>
      </w:pPr>
      <w:r>
        <w:separator/>
      </w:r>
    </w:p>
  </w:footnote>
  <w:footnote w:type="continuationSeparator" w:id="0">
    <w:p w14:paraId="4F9198D0" w14:textId="77777777" w:rsidR="00CC67A8" w:rsidRDefault="00CC67A8" w:rsidP="003E0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DA"/>
    <w:rsid w:val="000A6BE7"/>
    <w:rsid w:val="001A1EAC"/>
    <w:rsid w:val="001A27A7"/>
    <w:rsid w:val="003A79AA"/>
    <w:rsid w:val="003E0813"/>
    <w:rsid w:val="00400965"/>
    <w:rsid w:val="004304F0"/>
    <w:rsid w:val="00531CA4"/>
    <w:rsid w:val="00566D2D"/>
    <w:rsid w:val="005C0866"/>
    <w:rsid w:val="00693BDA"/>
    <w:rsid w:val="006D2D60"/>
    <w:rsid w:val="00713D81"/>
    <w:rsid w:val="00715A2F"/>
    <w:rsid w:val="007A12C6"/>
    <w:rsid w:val="007E43F6"/>
    <w:rsid w:val="008D4668"/>
    <w:rsid w:val="008F47D9"/>
    <w:rsid w:val="00926871"/>
    <w:rsid w:val="00930C82"/>
    <w:rsid w:val="00A250C3"/>
    <w:rsid w:val="00AB71B5"/>
    <w:rsid w:val="00B30E05"/>
    <w:rsid w:val="00B91476"/>
    <w:rsid w:val="00CC67A8"/>
    <w:rsid w:val="00CE127C"/>
    <w:rsid w:val="00CF6995"/>
    <w:rsid w:val="00D46009"/>
    <w:rsid w:val="00F5204A"/>
    <w:rsid w:val="00F606F8"/>
    <w:rsid w:val="00FB0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0E0A"/>
  <w15:chartTrackingRefBased/>
  <w15:docId w15:val="{AECA8E48-E069-4907-B066-1EEF2A7F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B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93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E08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0813"/>
  </w:style>
  <w:style w:type="paragraph" w:styleId="Piedepgina">
    <w:name w:val="footer"/>
    <w:basedOn w:val="Normal"/>
    <w:link w:val="PiedepginaCar"/>
    <w:uiPriority w:val="99"/>
    <w:unhideWhenUsed/>
    <w:rsid w:val="003E08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2224</Words>
  <Characters>12232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7</dc:creator>
  <cp:keywords/>
  <dc:description/>
  <cp:lastModifiedBy>Ana Silvia Oropeza Alardín</cp:lastModifiedBy>
  <cp:revision>5</cp:revision>
  <cp:lastPrinted>2023-09-11T16:27:00Z</cp:lastPrinted>
  <dcterms:created xsi:type="dcterms:W3CDTF">2023-08-31T16:02:00Z</dcterms:created>
  <dcterms:modified xsi:type="dcterms:W3CDTF">2023-09-11T16:33:00Z</dcterms:modified>
</cp:coreProperties>
</file>